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pPr>
      <w:bookmarkStart w:id="0" w:name="_Toc15378441"/>
      <w:bookmarkStart w:id="1" w:name="_Toc15396597"/>
      <w:bookmarkStart w:id="2" w:name="_Toc15377425"/>
      <w:bookmarkStart w:id="3" w:name="_Toc1539647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8442"/>
      <w:bookmarkStart w:id="9" w:name="_Toc15377194"/>
      <w:bookmarkStart w:id="10" w:name="_Toc15377426"/>
      <w:r>
        <w:rPr>
          <w:rFonts w:hint="eastAsia" w:ascii="方正小标宋简体" w:hAnsi="方正小标宋简体" w:eastAsia="方正小标宋简体" w:cs="方正小标宋简体"/>
          <w:sz w:val="72"/>
          <w:szCs w:val="72"/>
        </w:rPr>
        <w:t>凉山州</w:t>
      </w:r>
      <w:bookmarkEnd w:id="5"/>
      <w:bookmarkStart w:id="11" w:name="_Toc15306268"/>
      <w:r>
        <w:rPr>
          <w:rFonts w:hint="eastAsia" w:ascii="方正小标宋简体" w:hAnsi="方正小标宋简体" w:eastAsia="方正小标宋简体" w:cs="方正小标宋简体"/>
          <w:sz w:val="72"/>
          <w:szCs w:val="72"/>
        </w:rPr>
        <w:t>科学技术协会部门决算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公开时间：2023年9月25日</w:t>
      </w:r>
    </w:p>
    <w:p/>
    <w:p>
      <w:pPr>
        <w:pStyle w:val="13"/>
        <w:adjustRightInd w:val="0"/>
        <w:snapToGrid w:val="0"/>
        <w:spacing w:before="0" w:line="560" w:lineRule="exact"/>
        <w:jc w:val="left"/>
        <w:rPr>
          <w:rFonts w:ascii="仿宋_GB2312" w:hAnsi="仿宋_GB2312" w:eastAsia="仿宋_GB2312" w:cs="仿宋_GB2312"/>
          <w:sz w:val="32"/>
          <w:szCs w:val="32"/>
        </w:rPr>
      </w:pPr>
      <w:bookmarkStart w:id="12" w:name="_Toc15377196"/>
      <w:bookmarkStart w:id="13" w:name="_Toc15396599"/>
      <w:r>
        <w:rPr>
          <w:rFonts w:hint="eastAsia" w:ascii="仿宋_GB2312" w:hAnsi="仿宋_GB2312" w:eastAsia="仿宋_GB2312" w:cs="仿宋_GB2312"/>
          <w:sz w:val="32"/>
          <w:szCs w:val="32"/>
        </w:rPr>
        <w:t>第一部分部门况…</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…4</w:t>
      </w:r>
    </w:p>
    <w:p>
      <w:pPr>
        <w:pStyle w:val="15"/>
        <w:adjustRightInd w:val="0"/>
        <w:snapToGrid w:val="0"/>
        <w:spacing w:line="560" w:lineRule="exact"/>
        <w:ind w:left="0" w:left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一、部门职责…</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4</w:t>
      </w:r>
    </w:p>
    <w:p>
      <w:pPr>
        <w:pStyle w:val="15"/>
        <w:adjustRightInd w:val="0"/>
        <w:snapToGrid w:val="0"/>
        <w:spacing w:line="560" w:lineRule="exact"/>
        <w:ind w:left="0" w:left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第二部分</w:t>
      </w: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rPr>
        <w:t>2年度部门决算情况说明……………………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二、收入决算情况说明………………………………………6</w:t>
      </w:r>
    </w:p>
    <w:p>
      <w:pPr>
        <w:pStyle w:val="15"/>
        <w:adjustRightInd w:val="0"/>
        <w:snapToGrid w:val="0"/>
        <w:spacing w:line="560" w:lineRule="exact"/>
        <w:ind w:left="0" w:left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四、财政拨款收入支出决算总体情况说明…………………7</w:t>
      </w:r>
    </w:p>
    <w:p>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lang w:val="en-US" w:eastAsia="zh-CN"/>
        </w:rPr>
        <w:t>15</w:t>
      </w:r>
    </w:p>
    <w:p>
      <w:pPr>
        <w:adjustRightInd w:val="0"/>
        <w:snapToGrid w:val="0"/>
        <w:spacing w:line="560" w:lineRule="exact"/>
        <w:jc w:val="left"/>
        <w:rPr>
          <w:rFonts w:hint="default" w:ascii="仿宋_GB2312" w:hAnsi="仿宋_GB2312" w:eastAsia="仿宋_GB2312" w:cs="仿宋_GB2312"/>
          <w:sz w:val="32"/>
          <w:szCs w:val="32"/>
          <w:lang w:val="en-US" w:eastAsia="zh-CN"/>
        </w:rPr>
      </w:pPr>
      <w:r>
        <w:rPr>
          <w:rStyle w:val="21"/>
          <w:rFonts w:hint="eastAsia" w:ascii="仿宋_GB2312" w:hAnsi="仿宋_GB2312" w:eastAsia="仿宋_GB2312" w:cs="仿宋_GB2312"/>
          <w:color w:val="auto"/>
          <w:sz w:val="32"/>
          <w:szCs w:val="32"/>
          <w:u w:val="none"/>
        </w:rPr>
        <w:t>十、</w:t>
      </w:r>
      <w:r>
        <w:rPr>
          <w:rFonts w:hint="eastAsia" w:ascii="仿宋_GB2312" w:hAnsi="仿宋_GB2312" w:eastAsia="仿宋_GB2312" w:cs="仿宋_GB2312"/>
          <w:sz w:val="32"/>
          <w:szCs w:val="32"/>
        </w:rPr>
        <w:t>其他重要事项的情况说明</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w:t>
      </w:r>
    </w:p>
    <w:p>
      <w:pPr>
        <w:pStyle w:val="13"/>
        <w:adjustRightInd w:val="0"/>
        <w:snapToGrid w:val="0"/>
        <w:spacing w:before="0"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名词解释……………………………………… </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第四部分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第五部分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附表…………………………………………… </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一、收入支出决算总表…………………………………… </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 xml:space="preserve">二、收入决算表…………………………………………… </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三、支出决算表……</w:t>
      </w:r>
      <w:bookmarkStart w:id="62" w:name="_GoBack"/>
      <w:r>
        <w:rPr>
          <w:rFonts w:hint="eastAsia" w:ascii="仿宋_GB2312" w:hAnsi="仿宋_GB2312" w:eastAsia="仿宋_GB2312" w:cs="仿宋_GB2312"/>
          <w:sz w:val="32"/>
          <w:szCs w:val="32"/>
        </w:rPr>
        <w:t>…</w:t>
      </w:r>
      <w:bookmarkEnd w:id="62"/>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四、财政拨款收入支出决算总表………………………… </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七、一般公共预算财政拨款支出决算明细………………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八、一般公共预算财政拨款基本支出决算明细表………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lang w:val="en-US" w:eastAsia="zh-CN"/>
        </w:rPr>
        <w:t>91</w:t>
      </w:r>
    </w:p>
    <w:p>
      <w:pPr>
        <w:pStyle w:val="15"/>
        <w:adjustRightInd w:val="0"/>
        <w:snapToGrid w:val="0"/>
        <w:spacing w:line="560" w:lineRule="exact"/>
        <w:ind w:left="0"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sz w:val="32"/>
          <w:szCs w:val="32"/>
          <w:lang w:val="en-US" w:eastAsia="zh-CN"/>
        </w:rPr>
        <w:t>91</w:t>
      </w:r>
    </w:p>
    <w:p>
      <w:pPr>
        <w:pStyle w:val="2"/>
        <w:jc w:val="center"/>
        <w:rPr>
          <w:rStyle w:val="32"/>
          <w:rFonts w:ascii="黑体" w:hAnsi="黑体" w:eastAsia="黑体"/>
          <w:b/>
          <w:bCs w:val="0"/>
        </w:rPr>
      </w:pPr>
      <w:r>
        <w:rPr>
          <w:rFonts w:ascii="仿宋" w:hAnsi="仿宋" w:eastAsia="仿宋"/>
          <w:sz w:val="24"/>
        </w:rPr>
        <w:br w:type="page"/>
      </w:r>
      <w:r>
        <w:rPr>
          <w:rFonts w:hint="eastAsia" w:ascii="黑体" w:hAnsi="黑体" w:eastAsia="黑体"/>
          <w:b w:val="0"/>
        </w:rPr>
        <w:t xml:space="preserve">第一部分 </w:t>
      </w:r>
      <w:r>
        <w:rPr>
          <w:rStyle w:val="32"/>
          <w:rFonts w:hint="eastAsia" w:ascii="黑体" w:hAnsi="黑体" w:eastAsia="黑体"/>
          <w:b w:val="0"/>
          <w:bCs w:val="0"/>
        </w:rPr>
        <w:t>部门概况</w:t>
      </w:r>
      <w:bookmarkEnd w:id="12"/>
      <w:bookmarkEnd w:id="13"/>
    </w:p>
    <w:p>
      <w:pPr>
        <w:pStyle w:val="3"/>
        <w:rPr>
          <w:rFonts w:ascii="黑体" w:hAnsi="黑体" w:eastAsia="黑体"/>
          <w:b w:val="0"/>
        </w:rPr>
      </w:pPr>
      <w:r>
        <w:rPr>
          <w:rFonts w:hint="eastAsia" w:ascii="黑体" w:hAnsi="黑体" w:eastAsia="黑体"/>
          <w:b w:val="0"/>
        </w:rPr>
        <w:t>一、部门职责</w:t>
      </w:r>
    </w:p>
    <w:p>
      <w:pPr>
        <w:pStyle w:val="3"/>
        <w:ind w:firstLine="600" w:firstLineChars="200"/>
        <w:rPr>
          <w:rFonts w:ascii="仿宋_GB2312" w:hAnsi="仿宋_GB2312" w:eastAsia="仿宋_GB2312" w:cs="仿宋_GB2312"/>
          <w:b w:val="0"/>
          <w:bCs w:val="0"/>
          <w:color w:val="000000"/>
          <w:sz w:val="30"/>
          <w:szCs w:val="30"/>
          <w:shd w:val="clear" w:color="auto" w:fill="FFFFFF"/>
        </w:rPr>
      </w:pPr>
      <w:r>
        <w:rPr>
          <w:rFonts w:hint="eastAsia" w:ascii="仿宋_GB2312" w:hAnsi="仿宋_GB2312" w:eastAsia="仿宋_GB2312" w:cs="仿宋_GB2312"/>
          <w:b w:val="0"/>
          <w:bCs w:val="0"/>
          <w:color w:val="000000"/>
          <w:sz w:val="30"/>
          <w:szCs w:val="30"/>
          <w:shd w:val="clear" w:color="auto" w:fill="FFFFFF"/>
        </w:rPr>
        <w:t>一是开展学术交流，活跃学术思想，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监督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继续教育和培训工作，兴办符合科协综旨的社会公益性事业。七是对直属州级学会、协会、研究会进行管理，对县、市科协和基层组织进行业务指导。八是承担州委、州政府和省科协交办的其他事项。</w:t>
      </w:r>
    </w:p>
    <w:p>
      <w:pPr>
        <w:pStyle w:val="3"/>
        <w:rPr>
          <w:rStyle w:val="33"/>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4"/>
      <w:bookmarkEnd w:id="15"/>
    </w:p>
    <w:p>
      <w:pPr>
        <w:pStyle w:val="3"/>
        <w:ind w:firstLine="640" w:firstLineChars="200"/>
        <w:rPr>
          <w:rFonts w:ascii="仿宋" w:hAnsi="仿宋" w:eastAsia="仿宋"/>
        </w:rPr>
      </w:pPr>
      <w:r>
        <w:rPr>
          <w:rFonts w:hint="eastAsia" w:ascii="仿宋_GB2312" w:hAnsi="仿宋_GB2312" w:eastAsia="仿宋_GB2312" w:cs="仿宋_GB2312"/>
          <w:b w:val="0"/>
          <w:bCs w:val="0"/>
          <w:color w:val="000000"/>
          <w:shd w:val="clear" w:color="auto" w:fill="FFFFFF"/>
        </w:rPr>
        <w:t>凉山州科学技术协会下属二级预算单位1个。</w:t>
      </w:r>
      <w:r>
        <w:rPr>
          <w:rFonts w:hint="eastAsia" w:ascii="仿宋" w:hAnsi="仿宋" w:eastAsia="仿宋"/>
        </w:rPr>
        <w:t>其中行政单位0个，参照公务员法管理的事业单位0个，其他事业单位1个。</w:t>
      </w:r>
    </w:p>
    <w:p>
      <w:pPr>
        <w:pStyle w:val="3"/>
        <w:ind w:firstLine="640" w:firstLineChars="200"/>
        <w:rPr>
          <w:rFonts w:ascii="仿宋" w:hAnsi="仿宋" w:eastAsia="仿宋" w:cs="Times New Roman"/>
          <w:b w:val="0"/>
          <w:bCs w:val="0"/>
          <w:color w:val="000000"/>
        </w:rPr>
      </w:pPr>
      <w:r>
        <w:rPr>
          <w:rFonts w:hint="eastAsia" w:ascii="仿宋" w:hAnsi="仿宋" w:eastAsia="仿宋" w:cs="Times New Roman"/>
          <w:b w:val="0"/>
          <w:bCs w:val="0"/>
          <w:color w:val="000000"/>
        </w:rPr>
        <w:t>纳入</w:t>
      </w:r>
      <w:r>
        <w:rPr>
          <w:rFonts w:hint="eastAsia" w:ascii="仿宋_GB2312" w:hAnsi="仿宋_GB2312" w:eastAsia="仿宋_GB2312" w:cs="仿宋_GB2312"/>
          <w:b w:val="0"/>
          <w:bCs w:val="0"/>
          <w:color w:val="000000"/>
          <w:shd w:val="clear" w:color="auto" w:fill="FFFFFF"/>
        </w:rPr>
        <w:t>凉山州科学技术协会</w:t>
      </w:r>
      <w:r>
        <w:rPr>
          <w:rFonts w:hint="eastAsia" w:ascii="仿宋" w:hAnsi="仿宋" w:eastAsia="仿宋" w:cs="Times New Roman"/>
          <w:b w:val="0"/>
          <w:bCs w:val="0"/>
          <w:color w:val="000000"/>
        </w:rPr>
        <w:t>2022年度部门决算编制范围的二级单位包括：</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1.凉山州青少年科技活动中心。</w:t>
      </w:r>
    </w:p>
    <w:p>
      <w:pPr>
        <w:widowControl/>
        <w:jc w:val="left"/>
        <w:rPr>
          <w:rStyle w:val="32"/>
          <w:rFonts w:ascii="黑体" w:hAnsi="黑体" w:eastAsia="黑体"/>
          <w:b w:val="0"/>
        </w:rPr>
      </w:pPr>
      <w:bookmarkStart w:id="16" w:name="_Toc15396602"/>
      <w:bookmarkStart w:id="17" w:name="_Toc15377204"/>
    </w:p>
    <w:p>
      <w:pPr>
        <w:widowControl/>
        <w:jc w:val="left"/>
        <w:rPr>
          <w:rStyle w:val="32"/>
          <w:rFonts w:ascii="黑体" w:hAnsi="黑体" w:eastAsia="黑体"/>
          <w:b w:val="0"/>
        </w:rPr>
      </w:pPr>
      <w:r>
        <w:rPr>
          <w:rStyle w:val="32"/>
          <w:rFonts w:hint="eastAsia" w:ascii="黑体" w:hAnsi="黑体" w:eastAsia="黑体"/>
          <w:b w:val="0"/>
        </w:rPr>
        <w:t>第二部分 2022年度部门决算情况说明</w:t>
      </w:r>
      <w:bookmarkEnd w:id="16"/>
      <w:bookmarkEnd w:id="17"/>
    </w:p>
    <w:p/>
    <w:p>
      <w:pPr>
        <w:pStyle w:val="31"/>
        <w:numPr>
          <w:ilvl w:val="0"/>
          <w:numId w:val="1"/>
        </w:numPr>
        <w:spacing w:line="600" w:lineRule="exact"/>
        <w:ind w:firstLineChars="0"/>
        <w:outlineLvl w:val="1"/>
        <w:rPr>
          <w:rStyle w:val="33"/>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18"/>
      <w:bookmarkEnd w:id="19"/>
    </w:p>
    <w:p>
      <w:pPr>
        <w:snapToGrid w:val="0"/>
        <w:spacing w:line="560"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w:t>
      </w:r>
      <w:r>
        <w:rPr>
          <w:rFonts w:hint="eastAsia" w:ascii="仿宋" w:hAnsi="仿宋" w:eastAsia="仿宋"/>
          <w:color w:val="000000"/>
          <w:sz w:val="32"/>
          <w:szCs w:val="32"/>
        </w:rPr>
        <w:t>22年度收、支总计</w:t>
      </w:r>
      <w:r>
        <w:rPr>
          <w:rFonts w:hint="eastAsia" w:ascii="仿宋_GB2312" w:hAnsi="仿宋_GB2312" w:eastAsia="仿宋_GB2312" w:cs="仿宋_GB2312"/>
          <w:sz w:val="32"/>
          <w:szCs w:val="32"/>
        </w:rPr>
        <w:t>877.47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rPr>
        <w:t>21年相比，收、支总计各增加190.93万元，增长27.81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cs="仿宋_GB2312"/>
          <w:sz w:val="32"/>
          <w:szCs w:val="32"/>
        </w:rPr>
        <w:t>因为基本部分为新进职工1人，职工正常晋级按政策增目标奖、津贴补贴、住房公积金、各类保险缴费等人员经费。新增小车购置税、清算劳务费等公用经费；项目部分主要是因为增加州级财政专项拨款公务用车购置48.93万元、院士（专家）工作站建站经费50万元及工作补助经费15万元、37届青少年科创赛15万元、人才发展专项“菁英计划”53万元、省级科普专项资金46.17万元等在本年支出所致。</w:t>
      </w:r>
    </w:p>
    <w:p>
      <w:pPr>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（图1：收入支出决算总体情况变动图）（柱状图）</w:t>
      </w:r>
    </w:p>
    <w:p>
      <w:pPr>
        <w:pStyle w:val="9"/>
        <w:rPr>
          <w:rFonts w:ascii="仿宋_GB2312" w:eastAsia="仿宋_GB2312"/>
          <w:sz w:val="32"/>
          <w:szCs w:val="32"/>
        </w:rPr>
      </w:pPr>
      <w:r>
        <w:rPr>
          <w:rFonts w:hint="eastAsia"/>
        </w:rPr>
        <w:t xml:space="preserve">    </w:t>
      </w:r>
      <w:r>
        <w:drawing>
          <wp:inline distT="0" distB="0" distL="114300" distR="114300">
            <wp:extent cx="4344670" cy="2200275"/>
            <wp:effectExtent l="4445" t="5080" r="9525" b="444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1"/>
        <w:numPr>
          <w:ilvl w:val="0"/>
          <w:numId w:val="1"/>
        </w:numPr>
        <w:spacing w:line="600" w:lineRule="exact"/>
        <w:ind w:firstLineChars="0"/>
        <w:outlineLvl w:val="1"/>
        <w:rPr>
          <w:rStyle w:val="33"/>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3"/>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22年本年收入总计616.54）</w:t>
      </w:r>
      <w:r>
        <w:rPr>
          <w:rFonts w:hint="eastAsia" w:ascii="仿宋_GB2312" w:hAnsi="仿宋_GB2312" w:eastAsia="仿宋_GB2312" w:cs="仿宋_GB2312"/>
          <w:sz w:val="32"/>
          <w:szCs w:val="32"/>
        </w:rPr>
        <w:t>877.47</w:t>
      </w:r>
      <w:r>
        <w:rPr>
          <w:rFonts w:hint="eastAsia" w:ascii="仿宋" w:hAnsi="仿宋" w:eastAsia="仿宋"/>
          <w:sz w:val="32"/>
          <w:szCs w:val="32"/>
        </w:rPr>
        <w:t>万元，其中：一般公共预算财政拨款收入863.30万元，占98.39</w:t>
      </w:r>
      <w:r>
        <w:rPr>
          <w:rFonts w:ascii="仿宋" w:hAnsi="仿宋" w:eastAsia="仿宋"/>
          <w:sz w:val="32"/>
          <w:szCs w:val="32"/>
        </w:rPr>
        <w:t>%</w:t>
      </w:r>
      <w:r>
        <w:rPr>
          <w:rFonts w:hint="eastAsia" w:ascii="仿宋" w:hAnsi="仿宋" w:eastAsia="仿宋"/>
          <w:sz w:val="32"/>
          <w:szCs w:val="32"/>
        </w:rPr>
        <w:t>；年初结转和结余14.17万元，占1.61%。</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spacing w:line="600" w:lineRule="exact"/>
        <w:ind w:firstLine="420" w:firstLineChars="200"/>
        <w:rPr>
          <w:rFonts w:ascii="仿宋_GB2312" w:eastAsia="仿宋_GB2312"/>
          <w:sz w:val="32"/>
          <w:szCs w:val="32"/>
        </w:rPr>
      </w:pPr>
      <w:r>
        <w:rPr>
          <w:rFonts w:eastAsiaTheme="minorEastAsia"/>
        </w:rPr>
        <w:pict>
          <v:shape id="Object 1" o:spid="_x0000_s1030" o:spt="75" type="#_x0000_t75" style="position:absolute;left:0pt;margin-left:53.95pt;margin-top:22.75pt;height:151.45pt;width:293.2pt;mso-wrap-distance-bottom:0pt;mso-wrap-distance-top:0pt;z-index:251659264;mso-width-relative:page;mso-height-relative:page;" o:ole="t" filled="f" o:preferrelative="t" stroked="f" coordsize="21600,21600">
            <v:path/>
            <v:fill on="f" focussize="0,0"/>
            <v:stroke on="f" joinstyle="miter"/>
            <v:imagedata r:id="rId9" o:title=""/>
            <o:lock v:ext="edit" aspectratio="f"/>
            <w10:wrap type="topAndBottom"/>
          </v:shape>
          <o:OLEObject Type="Embed" ProgID="Excel.Sheet.8" ShapeID="Object 1" DrawAspect="Content" ObjectID="_1468075725" r:id="rId8">
            <o:LockedField>false</o:LockedField>
          </o:OLEObject>
        </w:pict>
      </w:r>
    </w:p>
    <w:p>
      <w:pPr>
        <w:pStyle w:val="31"/>
        <w:spacing w:line="600" w:lineRule="exact"/>
        <w:ind w:firstLine="0" w:firstLineChars="0"/>
        <w:outlineLvl w:val="1"/>
        <w:rPr>
          <w:rStyle w:val="33"/>
          <w:rFonts w:ascii="黑体" w:hAnsi="黑体" w:eastAsia="黑体"/>
          <w:b w:val="0"/>
        </w:rPr>
      </w:pPr>
      <w:bookmarkStart w:id="22" w:name="_Toc15377207"/>
      <w:bookmarkStart w:id="23" w:name="_Toc15396605"/>
      <w:r>
        <w:rPr>
          <w:rFonts w:hint="eastAsia" w:ascii="黑体" w:hAnsi="黑体" w:eastAsia="黑体"/>
          <w:sz w:val="32"/>
          <w:szCs w:val="32"/>
        </w:rPr>
        <w:t>三、支</w:t>
      </w:r>
      <w:r>
        <w:rPr>
          <w:rStyle w:val="33"/>
          <w:rFonts w:hint="eastAsia" w:ascii="黑体" w:hAnsi="黑体" w:eastAsia="黑体"/>
          <w:b w:val="0"/>
        </w:rPr>
        <w:t>出决算情况说明</w:t>
      </w:r>
      <w:bookmarkEnd w:id="22"/>
      <w:bookmarkEnd w:id="2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22年本年支出合计877.47万元，其中：基本支出435.41万元，占49.62</w:t>
      </w:r>
      <w:r>
        <w:rPr>
          <w:rFonts w:ascii="仿宋" w:hAnsi="仿宋" w:eastAsia="仿宋"/>
          <w:color w:val="000000"/>
          <w:sz w:val="32"/>
          <w:szCs w:val="32"/>
        </w:rPr>
        <w:t>%</w:t>
      </w:r>
      <w:r>
        <w:rPr>
          <w:rFonts w:hint="eastAsia" w:ascii="仿宋" w:hAnsi="仿宋" w:eastAsia="仿宋"/>
          <w:color w:val="000000"/>
          <w:sz w:val="32"/>
          <w:szCs w:val="32"/>
        </w:rPr>
        <w:t>；项目支出442.06万元，占50.38</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 w:hAnsi="仿宋" w:eastAsia="仿宋"/>
          <w:color w:val="FF0000"/>
          <w:sz w:val="32"/>
          <w:szCs w:val="32"/>
        </w:rPr>
      </w:pPr>
      <w:r>
        <w:rPr>
          <w:rFonts w:hint="eastAsia" w:ascii="仿宋" w:hAnsi="仿宋" w:eastAsia="仿宋"/>
          <w:sz w:val="32"/>
          <w:szCs w:val="32"/>
        </w:rPr>
        <w:t>（图3：支出决算结构图）（饼状图）</w:t>
      </w:r>
    </w:p>
    <w:p>
      <w:pPr>
        <w:pStyle w:val="9"/>
      </w:pPr>
      <w:r>
        <w:rPr>
          <w:rFonts w:hint="eastAsia"/>
        </w:rPr>
        <w:t xml:space="preserve"> </w:t>
      </w:r>
    </w:p>
    <w:p>
      <w:pPr>
        <w:pStyle w:val="9"/>
      </w:pPr>
    </w:p>
    <w:p>
      <w:pPr>
        <w:pStyle w:val="9"/>
        <w:rPr>
          <w:rFonts w:ascii="仿宋_GB2312" w:eastAsia="仿宋_GB2312"/>
          <w:sz w:val="32"/>
          <w:szCs w:val="32"/>
        </w:rPr>
      </w:pPr>
      <w:r>
        <w:rPr>
          <w:rFonts w:hint="eastAsia"/>
        </w:rPr>
        <w:t xml:space="preserve">        </w:t>
      </w:r>
      <w:r>
        <w:drawing>
          <wp:inline distT="0" distB="0" distL="114300" distR="114300">
            <wp:extent cx="3424555" cy="1963420"/>
            <wp:effectExtent l="0" t="0" r="4445" b="1778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3424555" cy="1963420"/>
                    </a:xfrm>
                    <a:prstGeom prst="rect">
                      <a:avLst/>
                    </a:prstGeom>
                    <a:noFill/>
                    <a:ln>
                      <a:noFill/>
                    </a:ln>
                  </pic:spPr>
                </pic:pic>
              </a:graphicData>
            </a:graphic>
          </wp:inline>
        </w:drawing>
      </w:r>
    </w:p>
    <w:p>
      <w:pPr>
        <w:pStyle w:val="9"/>
        <w:rPr>
          <w:rFonts w:ascii="仿宋_GB2312" w:eastAsia="仿宋_GB2312"/>
          <w:sz w:val="32"/>
          <w:szCs w:val="32"/>
        </w:rPr>
      </w:pPr>
    </w:p>
    <w:p>
      <w:pPr>
        <w:spacing w:line="600" w:lineRule="exact"/>
        <w:outlineLvl w:val="1"/>
        <w:rPr>
          <w:rFonts w:ascii="黑体" w:hAnsi="黑体" w:eastAsia="黑体"/>
          <w:sz w:val="32"/>
          <w:szCs w:val="32"/>
        </w:rPr>
      </w:pPr>
      <w:bookmarkStart w:id="24" w:name="_Toc15377208"/>
      <w:bookmarkStart w:id="25" w:name="_Toc15396606"/>
    </w:p>
    <w:p>
      <w:pPr>
        <w:spacing w:line="600" w:lineRule="exact"/>
        <w:outlineLvl w:val="1"/>
        <w:rPr>
          <w:rStyle w:val="33"/>
          <w:rFonts w:ascii="黑体" w:hAnsi="黑体" w:eastAsia="黑体"/>
          <w:b w:val="0"/>
        </w:rPr>
      </w:pPr>
      <w:r>
        <w:rPr>
          <w:rFonts w:hint="eastAsia" w:ascii="黑体" w:hAnsi="黑体" w:eastAsia="黑体"/>
          <w:sz w:val="32"/>
          <w:szCs w:val="32"/>
        </w:rPr>
        <w:t>四、财</w:t>
      </w:r>
      <w:r>
        <w:rPr>
          <w:rStyle w:val="33"/>
          <w:rFonts w:hint="eastAsia" w:ascii="黑体" w:hAnsi="黑体" w:eastAsia="黑体"/>
          <w:b w:val="0"/>
        </w:rPr>
        <w:t>政拨款收入支出决算总体情况说明</w:t>
      </w:r>
      <w:bookmarkEnd w:id="24"/>
      <w:bookmarkEnd w:id="25"/>
    </w:p>
    <w:p>
      <w:pPr>
        <w:spacing w:line="600"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w:t>
      </w:r>
      <w:r>
        <w:rPr>
          <w:rFonts w:hint="eastAsia" w:ascii="仿宋" w:hAnsi="仿宋" w:eastAsia="仿宋"/>
          <w:color w:val="000000"/>
          <w:sz w:val="32"/>
          <w:szCs w:val="32"/>
        </w:rPr>
        <w:t>22年财政拨款收、支总计863.30万元。与</w:t>
      </w:r>
      <w:r>
        <w:rPr>
          <w:rFonts w:ascii="仿宋" w:hAnsi="仿宋" w:eastAsia="仿宋"/>
          <w:color w:val="000000"/>
          <w:sz w:val="32"/>
          <w:szCs w:val="32"/>
        </w:rPr>
        <w:t>20</w:t>
      </w:r>
      <w:r>
        <w:rPr>
          <w:rFonts w:hint="eastAsia" w:ascii="仿宋" w:hAnsi="仿宋" w:eastAsia="仿宋"/>
          <w:color w:val="000000"/>
          <w:sz w:val="32"/>
          <w:szCs w:val="32"/>
        </w:rPr>
        <w:t>21年相比，财政拨款收、支总计增加176.76万元，增长25.75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cs="仿宋_GB2312"/>
          <w:sz w:val="32"/>
          <w:szCs w:val="32"/>
        </w:rPr>
        <w:t>因为基本收支部分为新进职工1人，职工正常晋级按政策增目标奖、津贴补贴、住房公积金、各类保险缴费等人员经费；项目收支部分主要是因为增加州级财政专项拨款公务用车购置48.93万元、院士（专家）工作站建站经费50万元及工作补助经费15万元、37届青少年科创赛15万元、人才发展专项“菁英计划”53万元、省级科普专项资金46.17万元等在本年支出所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spacing w:line="600" w:lineRule="exact"/>
        <w:ind w:firstLine="640"/>
        <w:rPr>
          <w:rFonts w:ascii="仿宋" w:hAnsi="仿宋" w:eastAsia="仿宋"/>
          <w:b/>
          <w:color w:val="FF0000"/>
          <w:sz w:val="32"/>
          <w:szCs w:val="32"/>
        </w:rPr>
      </w:pPr>
    </w:p>
    <w:p>
      <w:pPr>
        <w:pStyle w:val="9"/>
        <w:rPr>
          <w:rFonts w:ascii="仿宋" w:hAnsi="仿宋" w:eastAsia="仿宋"/>
          <w:b/>
          <w:color w:val="FF0000"/>
          <w:sz w:val="32"/>
          <w:szCs w:val="32"/>
        </w:rPr>
      </w:pPr>
      <w:r>
        <w:pict>
          <v:shape id="Object 5" o:spid="_x0000_s1032" o:spt="75" type="#_x0000_t75" style="position:absolute;left:0pt;margin-left:50pt;margin-top:-12.75pt;height:181.25pt;width:322.05pt;z-index:251660288;mso-width-relative:page;mso-height-relative:page;" o:ole="t" filled="f" o:preferrelative="t" stroked="f" coordsize="21600,21600" o:gfxdata="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">
            <v:path/>
            <v:fill on="f" focussize="0,0"/>
            <v:stroke on="f" joinstyle="miter"/>
            <v:imagedata r:id="rId12" o:title=""/>
            <o:lock v:ext="edit" aspectratio="f"/>
          </v:shape>
          <o:OLEObject Type="Embed" ProgID="Excel.Sheet.8" ShapeID="Object 5" DrawAspect="Content" ObjectID="_1468075726" r:id="rId11">
            <o:LockedField>false</o:LockedField>
          </o:OLEObject>
        </w:pict>
      </w:r>
    </w:p>
    <w:p>
      <w:pPr>
        <w:pStyle w:val="9"/>
        <w:rPr>
          <w:rFonts w:ascii="仿宋" w:hAnsi="仿宋" w:eastAsia="仿宋"/>
          <w:b/>
          <w:color w:val="FF0000"/>
          <w:sz w:val="32"/>
          <w:szCs w:val="32"/>
        </w:rPr>
      </w:pPr>
    </w:p>
    <w:p>
      <w:pPr>
        <w:pStyle w:val="9"/>
        <w:rPr>
          <w:rFonts w:ascii="仿宋" w:hAnsi="仿宋" w:eastAsia="仿宋"/>
          <w:b/>
          <w:color w:val="FF0000"/>
          <w:sz w:val="32"/>
          <w:szCs w:val="32"/>
        </w:rPr>
      </w:pPr>
    </w:p>
    <w:p>
      <w:pPr>
        <w:pStyle w:val="9"/>
        <w:rPr>
          <w:rFonts w:ascii="仿宋" w:hAnsi="仿宋" w:eastAsia="仿宋"/>
          <w:b/>
          <w:color w:val="FF0000"/>
          <w:sz w:val="32"/>
          <w:szCs w:val="32"/>
        </w:rPr>
      </w:pPr>
    </w:p>
    <w:p>
      <w:pPr>
        <w:pStyle w:val="9"/>
        <w:rPr>
          <w:rFonts w:ascii="仿宋" w:hAnsi="仿宋" w:eastAsia="仿宋"/>
          <w:b/>
          <w:color w:val="FF0000"/>
          <w:sz w:val="32"/>
          <w:szCs w:val="32"/>
        </w:rPr>
      </w:pPr>
    </w:p>
    <w:p>
      <w:pPr>
        <w:pStyle w:val="9"/>
        <w:rPr>
          <w:rFonts w:ascii="仿宋" w:hAnsi="仿宋" w:eastAsia="仿宋"/>
          <w:b/>
          <w:color w:val="FF0000"/>
          <w:sz w:val="32"/>
          <w:szCs w:val="32"/>
        </w:rPr>
      </w:pPr>
    </w:p>
    <w:p>
      <w:pPr>
        <w:spacing w:line="600" w:lineRule="exact"/>
        <w:ind w:firstLine="640" w:firstLineChars="200"/>
        <w:outlineLvl w:val="1"/>
        <w:rPr>
          <w:rStyle w:val="33"/>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26"/>
      <w:bookmarkEnd w:id="27"/>
    </w:p>
    <w:p>
      <w:pPr>
        <w:pStyle w:val="9"/>
        <w:ind w:firstLine="640" w:firstLineChars="200"/>
      </w:pPr>
      <w:r>
        <w:rPr>
          <w:rFonts w:ascii="仿宋" w:hAnsi="仿宋" w:eastAsia="仿宋"/>
          <w:sz w:val="32"/>
          <w:szCs w:val="32"/>
        </w:rPr>
        <w:t>20</w:t>
      </w:r>
      <w:r>
        <w:rPr>
          <w:rFonts w:hint="eastAsia" w:ascii="仿宋" w:hAnsi="仿宋" w:eastAsia="仿宋"/>
          <w:sz w:val="32"/>
          <w:szCs w:val="32"/>
        </w:rPr>
        <w:t>22年一般公共预算财政拨款支出决算总计863.30万元,占本年支出合计的100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rPr>
        <w:t>21年相比，</w:t>
      </w:r>
      <w:r>
        <w:rPr>
          <w:rFonts w:hint="eastAsia" w:ascii="仿宋" w:hAnsi="仿宋" w:eastAsia="仿宋"/>
          <w:sz w:val="32"/>
          <w:szCs w:val="32"/>
        </w:rPr>
        <w:t>一般公共预算</w:t>
      </w:r>
      <w:r>
        <w:rPr>
          <w:rFonts w:hint="eastAsia" w:ascii="仿宋" w:hAnsi="仿宋" w:eastAsia="仿宋"/>
          <w:color w:val="000000"/>
          <w:sz w:val="32"/>
          <w:szCs w:val="32"/>
        </w:rPr>
        <w:t>财政拨款支出增加176.76万元，增长25.75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_GB2312" w:eastAsia="仿宋_GB2312" w:cs="仿宋_GB2312"/>
          <w:sz w:val="32"/>
          <w:szCs w:val="32"/>
        </w:rPr>
        <w:t>基本收支部分为新进职工1人，职工正常晋级按政策增目标奖、津贴补贴、住房公积金、各类保险缴费等人员经费等；项目收支部分主要是因为增加州级财政专项拨款公务用车购置48.93万元、院士（专家）工作站建站经费50万元及工作补助经费15万元、37届青少年科创赛15万元、人才发展专项“菁英计划”53万元、省级科普专项资金46.17万元等在本年支出所致。</w:t>
      </w:r>
    </w:p>
    <w:p>
      <w:pPr>
        <w:spacing w:line="600" w:lineRule="exact"/>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420" w:firstLineChars="200"/>
        <w:rPr>
          <w:rFonts w:ascii="仿宋" w:hAnsi="仿宋" w:eastAsia="仿宋"/>
          <w:color w:val="FF0000"/>
          <w:sz w:val="32"/>
          <w:szCs w:val="32"/>
        </w:rPr>
      </w:pPr>
      <w:r>
        <w:pict>
          <v:shape id="Object 12" o:spid="_x0000_s1033" o:spt="75" type="#_x0000_t75" style="position:absolute;left:0pt;margin-left:48.85pt;margin-top:13.4pt;height:218.55pt;width:339.45pt;z-index:251661312;mso-width-relative:page;mso-height-relative:page;" o:ole="t" filled="f" o:preferrelative="t" stroked="f" coordsize="21600,21600" o:gfxdata="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">
            <v:path/>
            <v:fill on="f" focussize="0,0"/>
            <v:stroke on="f" joinstyle="miter"/>
            <v:imagedata r:id="rId14" o:title=""/>
            <o:lock v:ext="edit" aspectratio="f"/>
          </v:shape>
          <o:OLEObject Type="Embed" ProgID="Excel.Sheet.8" ShapeID="Object 12" DrawAspect="Content" ObjectID="_1468075727" r:id="rId13">
            <o:LockedField>false</o:LockedField>
          </o:OLEObject>
        </w:pict>
      </w: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pStyle w:val="9"/>
        <w:rPr>
          <w:rFonts w:ascii="仿宋" w:hAnsi="仿宋" w:eastAsia="仿宋"/>
          <w:color w:val="FF0000"/>
          <w:sz w:val="32"/>
          <w:szCs w:val="32"/>
        </w:rPr>
      </w:pPr>
    </w:p>
    <w:p>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pPr>
        <w:spacing w:line="600" w:lineRule="exact"/>
        <w:ind w:firstLine="640" w:firstLineChars="200"/>
        <w:rPr>
          <w:rFonts w:ascii="仿宋" w:hAnsi="仿宋" w:eastAsia="仿宋"/>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22年一般公共预算财政拨款支出863.30万元，主要用于以下方面:科学技术支出693.74万元，占80.36%；社会保障和就业支出128.01万元，占14.83%；卫生健康支出19.61万元，占2.27%；住房保障支出21.94万元，占2.54%。</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127000</wp:posOffset>
            </wp:positionH>
            <wp:positionV relativeFrom="paragraph">
              <wp:posOffset>320040</wp:posOffset>
            </wp:positionV>
            <wp:extent cx="4723765" cy="2600960"/>
            <wp:effectExtent l="0" t="0" r="635" b="508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5"/>
                    <a:stretch>
                      <a:fillRect/>
                    </a:stretch>
                  </pic:blipFill>
                  <pic:spPr>
                    <a:xfrm>
                      <a:off x="0" y="0"/>
                      <a:ext cx="4723765" cy="2600960"/>
                    </a:xfrm>
                    <a:prstGeom prst="rect">
                      <a:avLst/>
                    </a:prstGeom>
                    <a:noFill/>
                    <a:ln>
                      <a:noFill/>
                    </a:ln>
                  </pic:spPr>
                </pic:pic>
              </a:graphicData>
            </a:graphic>
          </wp:anchor>
        </w:drawing>
      </w:r>
    </w:p>
    <w:p>
      <w:pPr>
        <w:pStyle w:val="9"/>
        <w:rPr>
          <w:rFonts w:ascii="仿宋" w:hAnsi="仿宋" w:eastAsia="仿宋"/>
          <w:sz w:val="32"/>
          <w:szCs w:val="32"/>
        </w:rPr>
      </w:pPr>
    </w:p>
    <w:p>
      <w:pPr>
        <w:pStyle w:val="9"/>
        <w:rPr>
          <w:rFonts w:ascii="仿宋" w:hAnsi="仿宋" w:eastAsia="仿宋"/>
          <w:sz w:val="32"/>
          <w:szCs w:val="32"/>
        </w:rPr>
      </w:pPr>
    </w:p>
    <w:p>
      <w:pPr>
        <w:pStyle w:val="9"/>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2"/>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29"/>
    </w:p>
    <w:p>
      <w:pPr>
        <w:spacing w:line="600" w:lineRule="exact"/>
        <w:ind w:firstLine="643" w:firstLineChars="200"/>
        <w:rPr>
          <w:rFonts w:ascii="仿宋" w:hAnsi="仿宋" w:eastAsia="仿宋"/>
          <w:b/>
          <w:sz w:val="32"/>
          <w:szCs w:val="32"/>
        </w:rPr>
      </w:pPr>
      <w:r>
        <w:rPr>
          <w:rFonts w:ascii="仿宋" w:hAnsi="仿宋" w:eastAsia="仿宋"/>
          <w:b/>
          <w:color w:val="000000"/>
          <w:sz w:val="32"/>
          <w:szCs w:val="32"/>
        </w:rPr>
        <w:t>20</w:t>
      </w:r>
      <w:r>
        <w:rPr>
          <w:rFonts w:hint="eastAsia" w:ascii="仿宋" w:hAnsi="仿宋" w:eastAsia="仿宋"/>
          <w:b/>
          <w:color w:val="000000"/>
          <w:sz w:val="32"/>
          <w:szCs w:val="32"/>
        </w:rPr>
        <w:t>22年一般公共预</w:t>
      </w:r>
      <w:r>
        <w:rPr>
          <w:rFonts w:hint="eastAsia" w:ascii="仿宋" w:hAnsi="仿宋" w:eastAsia="仿宋"/>
          <w:b/>
          <w:sz w:val="32"/>
          <w:szCs w:val="32"/>
        </w:rPr>
        <w:t>算支出</w:t>
      </w:r>
      <w:r>
        <w:rPr>
          <w:rFonts w:hint="eastAsia" w:ascii="仿宋" w:hAnsi="仿宋" w:eastAsia="仿宋"/>
          <w:b/>
          <w:color w:val="000000"/>
          <w:sz w:val="32"/>
          <w:szCs w:val="32"/>
        </w:rPr>
        <w:t>决算数为863.30万元</w:t>
      </w:r>
      <w:r>
        <w:rPr>
          <w:rFonts w:hint="eastAsia" w:ascii="仿宋" w:hAnsi="仿宋" w:eastAsia="仿宋"/>
          <w:color w:val="000000"/>
          <w:sz w:val="32"/>
          <w:szCs w:val="32"/>
        </w:rPr>
        <w:t>，</w:t>
      </w:r>
      <w:r>
        <w:rPr>
          <w:rStyle w:val="20"/>
          <w:rFonts w:hint="eastAsia" w:ascii="仿宋" w:hAnsi="仿宋" w:eastAsia="仿宋"/>
          <w:bCs/>
          <w:color w:val="000000"/>
          <w:sz w:val="32"/>
          <w:szCs w:val="32"/>
        </w:rPr>
        <w:t>完成年初预算的156.74</w:t>
      </w:r>
      <w:r>
        <w:rPr>
          <w:rStyle w:val="20"/>
          <w:rFonts w:ascii="仿宋" w:hAnsi="仿宋" w:eastAsia="仿宋"/>
          <w:bCs/>
          <w:color w:val="000000"/>
          <w:sz w:val="32"/>
          <w:szCs w:val="32"/>
        </w:rPr>
        <w:t>%</w:t>
      </w:r>
      <w:r>
        <w:rPr>
          <w:rStyle w:val="20"/>
          <w:rFonts w:hint="eastAsia" w:ascii="仿宋" w:hAnsi="仿宋" w:eastAsia="仿宋"/>
          <w:bCs/>
          <w:color w:val="000000"/>
          <w:sz w:val="32"/>
          <w:szCs w:val="32"/>
        </w:rPr>
        <w:t>。其中：</w:t>
      </w:r>
    </w:p>
    <w:p>
      <w:pPr>
        <w:pStyle w:val="9"/>
        <w:ind w:firstLine="643" w:firstLineChars="200"/>
        <w:rPr>
          <w:rFonts w:eastAsia="仿宋"/>
        </w:rPr>
      </w:pPr>
      <w:r>
        <w:rPr>
          <w:rStyle w:val="20"/>
          <w:rFonts w:hint="eastAsia" w:ascii="仿宋" w:hAnsi="仿宋" w:eastAsia="仿宋"/>
          <w:bCs/>
          <w:color w:val="000000"/>
          <w:sz w:val="32"/>
          <w:szCs w:val="32"/>
        </w:rPr>
        <w:t>1.科学技术支出（206类）科学技术管理事务（01款）</w:t>
      </w:r>
    </w:p>
    <w:p>
      <w:pPr>
        <w:pStyle w:val="9"/>
        <w:rPr>
          <w:rStyle w:val="20"/>
          <w:rFonts w:ascii="仿宋" w:hAnsi="仿宋" w:eastAsia="仿宋"/>
          <w:b w:val="0"/>
          <w:bCs/>
          <w:sz w:val="32"/>
          <w:szCs w:val="32"/>
        </w:rPr>
      </w:pPr>
      <w:r>
        <w:rPr>
          <w:rStyle w:val="20"/>
          <w:rFonts w:hint="eastAsia" w:ascii="仿宋" w:hAnsi="仿宋" w:eastAsia="仿宋"/>
          <w:bCs/>
          <w:color w:val="000000"/>
          <w:sz w:val="32"/>
          <w:szCs w:val="32"/>
        </w:rPr>
        <w:t>一般行政管理事务（02款）：</w:t>
      </w:r>
      <w:r>
        <w:rPr>
          <w:rStyle w:val="20"/>
          <w:rFonts w:hint="eastAsia" w:ascii="仿宋" w:hAnsi="仿宋" w:eastAsia="仿宋"/>
          <w:b w:val="0"/>
          <w:bCs/>
          <w:sz w:val="32"/>
          <w:szCs w:val="32"/>
        </w:rPr>
        <w:t>支出决算为</w:t>
      </w:r>
      <w:r>
        <w:rPr>
          <w:rFonts w:hint="eastAsia" w:ascii="仿宋_GB2312" w:hAnsi="仿宋_GB2312" w:eastAsia="仿宋_GB2312" w:cs="仿宋_GB2312"/>
          <w:sz w:val="32"/>
          <w:szCs w:val="32"/>
        </w:rPr>
        <w:t>项目</w:t>
      </w:r>
      <w:r>
        <w:rPr>
          <w:rStyle w:val="20"/>
          <w:rFonts w:hint="eastAsia" w:ascii="仿宋" w:hAnsi="仿宋" w:eastAsia="仿宋"/>
          <w:b w:val="0"/>
          <w:bCs/>
          <w:sz w:val="32"/>
          <w:szCs w:val="32"/>
        </w:rPr>
        <w:t>支出48.93万元，年初无预算。年中</w:t>
      </w:r>
      <w:r>
        <w:rPr>
          <w:rFonts w:hint="eastAsia" w:ascii="仿宋_GB2312" w:hAnsi="仿宋_GB2312" w:eastAsia="仿宋_GB2312" w:cs="仿宋_GB2312"/>
          <w:sz w:val="32"/>
          <w:szCs w:val="32"/>
        </w:rPr>
        <w:t>主要是因为新增州级财政专项拨款公务用车购置48.93万元</w:t>
      </w:r>
      <w:r>
        <w:rPr>
          <w:rStyle w:val="20"/>
          <w:rFonts w:hint="eastAsia" w:ascii="仿宋" w:hAnsi="仿宋" w:eastAsia="仿宋"/>
          <w:b w:val="0"/>
          <w:bCs/>
          <w:sz w:val="32"/>
          <w:szCs w:val="32"/>
        </w:rPr>
        <w:t>。</w:t>
      </w:r>
    </w:p>
    <w:p>
      <w:pPr>
        <w:pStyle w:val="9"/>
        <w:ind w:firstLine="643" w:firstLineChars="200"/>
        <w:rPr>
          <w:rFonts w:eastAsia="仿宋"/>
        </w:rPr>
      </w:pPr>
      <w:r>
        <w:rPr>
          <w:rStyle w:val="20"/>
          <w:rFonts w:hint="eastAsia" w:ascii="仿宋" w:hAnsi="仿宋" w:eastAsia="仿宋"/>
          <w:sz w:val="32"/>
          <w:szCs w:val="32"/>
        </w:rPr>
        <w:t>2.</w:t>
      </w:r>
      <w:r>
        <w:rPr>
          <w:rStyle w:val="20"/>
          <w:rFonts w:hint="eastAsia" w:ascii="仿宋" w:hAnsi="仿宋" w:eastAsia="仿宋"/>
          <w:color w:val="000000"/>
          <w:sz w:val="32"/>
          <w:szCs w:val="32"/>
        </w:rPr>
        <w:t>科</w:t>
      </w:r>
      <w:r>
        <w:rPr>
          <w:rStyle w:val="20"/>
          <w:rFonts w:hint="eastAsia" w:ascii="仿宋" w:hAnsi="仿宋" w:eastAsia="仿宋"/>
          <w:bCs/>
          <w:color w:val="000000"/>
          <w:sz w:val="32"/>
          <w:szCs w:val="32"/>
        </w:rPr>
        <w:t>学技术支出（206类）技术研究与开发（04款）</w:t>
      </w:r>
    </w:p>
    <w:p>
      <w:pPr>
        <w:pStyle w:val="9"/>
        <w:rPr>
          <w:rStyle w:val="20"/>
          <w:rFonts w:ascii="仿宋" w:hAnsi="仿宋" w:eastAsia="仿宋"/>
          <w:b w:val="0"/>
          <w:bCs/>
          <w:sz w:val="32"/>
          <w:szCs w:val="32"/>
        </w:rPr>
      </w:pPr>
      <w:r>
        <w:rPr>
          <w:rStyle w:val="20"/>
          <w:rFonts w:hint="eastAsia" w:ascii="仿宋" w:hAnsi="仿宋" w:eastAsia="仿宋"/>
          <w:bCs/>
          <w:color w:val="000000"/>
          <w:sz w:val="32"/>
          <w:szCs w:val="32"/>
        </w:rPr>
        <w:t>其他技术研究与开发支出（99款）：</w:t>
      </w:r>
      <w:r>
        <w:rPr>
          <w:rStyle w:val="20"/>
          <w:rFonts w:hint="eastAsia" w:ascii="仿宋" w:hAnsi="仿宋" w:eastAsia="仿宋"/>
          <w:b w:val="0"/>
          <w:bCs/>
          <w:sz w:val="32"/>
          <w:szCs w:val="32"/>
        </w:rPr>
        <w:t>支出决算为</w:t>
      </w:r>
      <w:r>
        <w:rPr>
          <w:rFonts w:hint="eastAsia" w:ascii="仿宋_GB2312" w:hAnsi="仿宋_GB2312" w:eastAsia="仿宋_GB2312" w:cs="仿宋_GB2312"/>
          <w:sz w:val="32"/>
          <w:szCs w:val="32"/>
        </w:rPr>
        <w:t>项目</w:t>
      </w:r>
      <w:r>
        <w:rPr>
          <w:rStyle w:val="20"/>
          <w:rFonts w:hint="eastAsia" w:ascii="仿宋" w:hAnsi="仿宋" w:eastAsia="仿宋"/>
          <w:b w:val="0"/>
          <w:bCs/>
          <w:sz w:val="32"/>
          <w:szCs w:val="32"/>
        </w:rPr>
        <w:t>支出50万元，年初无预算。年中</w:t>
      </w:r>
      <w:r>
        <w:rPr>
          <w:rFonts w:hint="eastAsia" w:ascii="仿宋_GB2312" w:hAnsi="仿宋_GB2312" w:eastAsia="仿宋_GB2312" w:cs="仿宋_GB2312"/>
          <w:sz w:val="32"/>
          <w:szCs w:val="32"/>
        </w:rPr>
        <w:t>主要是因为新增加州级财政专项拨款院士（专家）工作站建站补助经费50万元</w:t>
      </w:r>
      <w:r>
        <w:rPr>
          <w:rStyle w:val="20"/>
          <w:rFonts w:hint="eastAsia" w:ascii="仿宋" w:hAnsi="仿宋" w:eastAsia="仿宋"/>
          <w:b w:val="0"/>
          <w:bCs/>
          <w:sz w:val="32"/>
          <w:szCs w:val="32"/>
        </w:rPr>
        <w:t>。</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3</w:t>
      </w:r>
      <w:r>
        <w:rPr>
          <w:rStyle w:val="20"/>
          <w:rFonts w:ascii="仿宋" w:hAnsi="仿宋" w:eastAsia="仿宋"/>
          <w:bCs/>
          <w:sz w:val="32"/>
          <w:szCs w:val="32"/>
        </w:rPr>
        <w:t>.</w:t>
      </w:r>
      <w:r>
        <w:rPr>
          <w:rStyle w:val="20"/>
          <w:rFonts w:hint="eastAsia" w:ascii="仿宋" w:hAnsi="仿宋" w:eastAsia="仿宋"/>
          <w:bCs/>
          <w:sz w:val="32"/>
          <w:szCs w:val="32"/>
        </w:rPr>
        <w:t>科学技术支出（206类）科学技术普及（07款）机构运行（01项）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支出决算为基本支出251.67万元，完成预算129.02</w:t>
      </w:r>
      <w:r>
        <w:rPr>
          <w:rStyle w:val="20"/>
          <w:rFonts w:ascii="仿宋" w:hAnsi="仿宋" w:eastAsia="仿宋"/>
          <w:b w:val="0"/>
          <w:bCs/>
          <w:sz w:val="32"/>
          <w:szCs w:val="32"/>
        </w:rPr>
        <w:t>%</w:t>
      </w:r>
      <w:r>
        <w:rPr>
          <w:rStyle w:val="20"/>
          <w:rFonts w:hint="eastAsia" w:ascii="仿宋" w:hAnsi="仿宋" w:eastAsia="仿宋"/>
          <w:b w:val="0"/>
          <w:bCs/>
          <w:sz w:val="32"/>
          <w:szCs w:val="32"/>
        </w:rPr>
        <w:t>，决算数大于年初预算数的主要原因是新进职工1人和职工正常晋级人员工资、增加公用经费、按照国家规定州人社局核拨增加在职绩效奖金等。</w:t>
      </w:r>
    </w:p>
    <w:p>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rPr>
        <w:t>4</w:t>
      </w:r>
      <w:r>
        <w:rPr>
          <w:rStyle w:val="20"/>
          <w:rFonts w:hint="eastAsia" w:ascii="仿宋" w:hAnsi="仿宋" w:eastAsia="仿宋"/>
          <w:b w:val="0"/>
          <w:bCs/>
          <w:color w:val="000000"/>
          <w:sz w:val="32"/>
          <w:szCs w:val="32"/>
        </w:rPr>
        <w:t>.</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（206类）科学技术普及（07款）科普活动（02项）：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rPr>
        <w:t>5.</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（206类）科学技术普及（07款）青少年科技活动（03项）：</w:t>
      </w:r>
      <w:r>
        <w:rPr>
          <w:rStyle w:val="20"/>
          <w:rFonts w:hint="eastAsia" w:ascii="仿宋" w:hAnsi="仿宋" w:eastAsia="仿宋"/>
          <w:b w:val="0"/>
          <w:bCs/>
          <w:color w:val="000000"/>
          <w:sz w:val="32"/>
          <w:szCs w:val="32"/>
        </w:rPr>
        <w:t>支出决算为项目支出3.07万元，完成预算102</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，决算与预算数略有增加，是因为增加了740元的其他支出。</w:t>
      </w:r>
    </w:p>
    <w:p>
      <w:pPr>
        <w:spacing w:line="600" w:lineRule="exact"/>
        <w:ind w:firstLine="643" w:firstLineChars="200"/>
        <w:rPr>
          <w:rStyle w:val="20"/>
          <w:rFonts w:ascii="仿宋" w:hAnsi="仿宋" w:eastAsia="仿宋"/>
          <w:b w:val="0"/>
          <w:bCs/>
          <w:color w:val="000000"/>
          <w:sz w:val="32"/>
          <w:szCs w:val="32"/>
        </w:rPr>
      </w:pPr>
      <w:r>
        <w:rPr>
          <w:rStyle w:val="20"/>
          <w:rFonts w:hint="eastAsia" w:ascii="仿宋" w:hAnsi="仿宋" w:eastAsia="仿宋"/>
          <w:color w:val="000000"/>
          <w:sz w:val="32"/>
          <w:szCs w:val="32"/>
        </w:rPr>
        <w:t>6.</w:t>
      </w:r>
      <w:r>
        <w:rPr>
          <w:rStyle w:val="20"/>
          <w:rFonts w:hint="eastAsia" w:ascii="仿宋" w:hAnsi="仿宋" w:eastAsia="仿宋"/>
          <w:bCs/>
          <w:color w:val="000000"/>
          <w:sz w:val="32"/>
          <w:szCs w:val="32"/>
        </w:rPr>
        <w:t>科学技术</w:t>
      </w:r>
      <w:r>
        <w:rPr>
          <w:rStyle w:val="20"/>
          <w:rFonts w:hint="eastAsia" w:ascii="仿宋" w:hAnsi="仿宋" w:eastAsia="仿宋"/>
          <w:bCs/>
          <w:sz w:val="32"/>
          <w:szCs w:val="32"/>
        </w:rPr>
        <w:t>支出</w:t>
      </w:r>
      <w:r>
        <w:rPr>
          <w:rStyle w:val="20"/>
          <w:rFonts w:hint="eastAsia" w:ascii="仿宋" w:hAnsi="仿宋" w:eastAsia="仿宋"/>
          <w:bCs/>
          <w:color w:val="000000"/>
          <w:sz w:val="32"/>
          <w:szCs w:val="32"/>
        </w:rPr>
        <w:t>（206类）科学技术普及（07款）学术交流活动（04项）：</w:t>
      </w:r>
      <w:r>
        <w:rPr>
          <w:rStyle w:val="20"/>
          <w:rFonts w:hint="eastAsia" w:ascii="仿宋" w:hAnsi="仿宋" w:eastAsia="仿宋"/>
          <w:b w:val="0"/>
          <w:bCs/>
          <w:color w:val="000000"/>
          <w:sz w:val="32"/>
          <w:szCs w:val="32"/>
        </w:rPr>
        <w:t>支出决算为项目支出12万元，完成预算100</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，决算与预算数持平。</w:t>
      </w:r>
    </w:p>
    <w:p>
      <w:pPr>
        <w:spacing w:line="600" w:lineRule="exact"/>
        <w:ind w:firstLine="643" w:firstLineChars="200"/>
        <w:rPr>
          <w:rFonts w:ascii="仿宋_GB2312" w:hAnsi="仿宋_GB2312" w:eastAsia="仿宋_GB2312" w:cs="仿宋_GB2312"/>
          <w:sz w:val="32"/>
          <w:szCs w:val="32"/>
        </w:rPr>
      </w:pPr>
      <w:r>
        <w:rPr>
          <w:rStyle w:val="20"/>
          <w:rFonts w:hint="eastAsia" w:ascii="仿宋" w:hAnsi="仿宋" w:eastAsia="仿宋"/>
          <w:sz w:val="32"/>
          <w:szCs w:val="32"/>
        </w:rPr>
        <w:t>7.</w:t>
      </w:r>
      <w:r>
        <w:rPr>
          <w:rStyle w:val="20"/>
          <w:rFonts w:hint="eastAsia" w:ascii="仿宋" w:hAnsi="仿宋" w:eastAsia="仿宋"/>
          <w:bCs/>
          <w:sz w:val="32"/>
          <w:szCs w:val="32"/>
        </w:rPr>
        <w:t>科学技术支出（206类）科学技术普及（07款）其他科学技术普及支出（99项）：</w:t>
      </w:r>
      <w:r>
        <w:rPr>
          <w:rStyle w:val="20"/>
          <w:rFonts w:hint="eastAsia" w:ascii="仿宋" w:hAnsi="仿宋" w:eastAsia="仿宋"/>
          <w:b w:val="0"/>
          <w:bCs/>
          <w:sz w:val="32"/>
          <w:szCs w:val="32"/>
        </w:rPr>
        <w:t>支出决算为项目支出289.06万元，完成预算148.77</w:t>
      </w:r>
      <w:r>
        <w:rPr>
          <w:rStyle w:val="20"/>
          <w:rFonts w:ascii="仿宋" w:hAnsi="仿宋" w:eastAsia="仿宋"/>
          <w:b w:val="0"/>
          <w:bCs/>
          <w:sz w:val="32"/>
          <w:szCs w:val="32"/>
        </w:rPr>
        <w:t>%</w:t>
      </w:r>
      <w:r>
        <w:rPr>
          <w:rStyle w:val="20"/>
          <w:rFonts w:hint="eastAsia" w:ascii="仿宋" w:hAnsi="仿宋" w:eastAsia="仿宋"/>
          <w:b w:val="0"/>
          <w:bCs/>
          <w:sz w:val="32"/>
          <w:szCs w:val="32"/>
        </w:rPr>
        <w:t>，决算数大于预算数的主要原因是年中</w:t>
      </w:r>
      <w:r>
        <w:rPr>
          <w:rFonts w:hint="eastAsia" w:ascii="仿宋_GB2312" w:hAnsi="仿宋_GB2312" w:eastAsia="仿宋_GB2312" w:cs="仿宋_GB2312"/>
          <w:sz w:val="32"/>
          <w:szCs w:val="32"/>
        </w:rPr>
        <w:t>增加州级财政专项拨款人才发展专项“菁英计划”53万元、省级科普专项资金46.17万元等在本年支出所致.</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color w:val="000000"/>
          <w:sz w:val="32"/>
          <w:szCs w:val="32"/>
        </w:rPr>
        <w:t>8.科学技术</w:t>
      </w:r>
      <w:r>
        <w:rPr>
          <w:rStyle w:val="20"/>
          <w:rFonts w:hint="eastAsia" w:ascii="仿宋" w:hAnsi="仿宋" w:eastAsia="仿宋"/>
          <w:bCs/>
          <w:sz w:val="32"/>
          <w:szCs w:val="32"/>
        </w:rPr>
        <w:t>支出</w:t>
      </w:r>
      <w:r>
        <w:rPr>
          <w:rStyle w:val="20"/>
          <w:rFonts w:hint="eastAsia" w:ascii="仿宋" w:hAnsi="仿宋" w:eastAsia="仿宋"/>
          <w:color w:val="000000"/>
          <w:sz w:val="32"/>
          <w:szCs w:val="32"/>
        </w:rPr>
        <w:t>（206类）其他科学技术支出（99款）其他科学技术支出（99项）：</w:t>
      </w:r>
      <w:r>
        <w:rPr>
          <w:rStyle w:val="20"/>
          <w:rFonts w:hint="eastAsia" w:ascii="仿宋" w:hAnsi="仿宋" w:eastAsia="仿宋"/>
          <w:b w:val="0"/>
          <w:bCs/>
          <w:color w:val="000000"/>
          <w:sz w:val="32"/>
          <w:szCs w:val="32"/>
        </w:rPr>
        <w:t>支出决算为项目支出27万元，完成预算100</w:t>
      </w:r>
      <w:r>
        <w:rPr>
          <w:rStyle w:val="20"/>
          <w:rFonts w:hint="eastAsia" w:ascii="仿宋" w:hAnsi="仿宋" w:eastAsia="仿宋"/>
          <w:b w:val="0"/>
          <w:bCs/>
          <w:sz w:val="32"/>
          <w:szCs w:val="32"/>
        </w:rPr>
        <w:t>%，决算数与年初预算数持平。</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9</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社会保障和就业支出（208类）行政单位养老支出（05款）行政单位离退休（01项）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支出决算为基本支出91.8万元，完成预算180.25</w:t>
      </w:r>
      <w:r>
        <w:rPr>
          <w:rStyle w:val="20"/>
          <w:rFonts w:ascii="仿宋" w:hAnsi="仿宋" w:eastAsia="仿宋"/>
          <w:b w:val="0"/>
          <w:bCs/>
          <w:sz w:val="32"/>
          <w:szCs w:val="32"/>
        </w:rPr>
        <w:t>%</w:t>
      </w:r>
      <w:r>
        <w:rPr>
          <w:rStyle w:val="20"/>
          <w:rFonts w:hint="eastAsia" w:ascii="仿宋" w:hAnsi="仿宋" w:eastAsia="仿宋"/>
          <w:b w:val="0"/>
          <w:bCs/>
          <w:sz w:val="32"/>
          <w:szCs w:val="32"/>
        </w:rPr>
        <w:t>，决算数大于预算数的主要原因是按照政策增加行政离退休人员生活补助。</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sz w:val="32"/>
          <w:szCs w:val="32"/>
        </w:rPr>
        <w:t>10.</w:t>
      </w:r>
      <w:r>
        <w:rPr>
          <w:rStyle w:val="20"/>
          <w:rFonts w:hint="eastAsia" w:ascii="仿宋" w:hAnsi="仿宋" w:eastAsia="仿宋"/>
          <w:bCs/>
          <w:sz w:val="32"/>
          <w:szCs w:val="32"/>
        </w:rPr>
        <w:t>社会保障和就业支出（208类）行政单位养老支出（05款）事业单位离退休（02项）</w:t>
      </w:r>
      <w:r>
        <w:rPr>
          <w:rStyle w:val="20"/>
          <w:rFonts w:ascii="仿宋" w:hAnsi="仿宋" w:eastAsia="仿宋"/>
          <w:bCs/>
          <w:sz w:val="32"/>
          <w:szCs w:val="32"/>
        </w:rPr>
        <w:t>:</w:t>
      </w:r>
      <w:r>
        <w:rPr>
          <w:rStyle w:val="20"/>
          <w:rFonts w:ascii="仿宋" w:hAnsi="仿宋" w:eastAsia="仿宋"/>
          <w:b w:val="0"/>
          <w:bCs/>
          <w:color w:val="FF0000"/>
          <w:sz w:val="32"/>
          <w:szCs w:val="32"/>
        </w:rPr>
        <w:t xml:space="preserve"> </w:t>
      </w:r>
      <w:r>
        <w:rPr>
          <w:rStyle w:val="20"/>
          <w:rFonts w:hint="eastAsia" w:ascii="仿宋" w:hAnsi="仿宋" w:eastAsia="仿宋"/>
          <w:b w:val="0"/>
          <w:bCs/>
          <w:sz w:val="32"/>
          <w:szCs w:val="32"/>
        </w:rPr>
        <w:t>支出决算为基本支出2.18万元，完成预算114.7%，决算数大于预算数的主要原因是按照政策增加事业退休生活补助费用。</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11</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社会保障和就业支出（208类）行政事业单位离退休（05款）机关事业单位基本养老保险缴费（05项）</w:t>
      </w:r>
      <w:r>
        <w:rPr>
          <w:rStyle w:val="20"/>
          <w:rFonts w:ascii="仿宋" w:hAnsi="仿宋" w:eastAsia="仿宋"/>
          <w:bCs/>
          <w:sz w:val="32"/>
          <w:szCs w:val="32"/>
        </w:rPr>
        <w:t xml:space="preserve">: </w:t>
      </w:r>
      <w:r>
        <w:rPr>
          <w:rStyle w:val="20"/>
          <w:rFonts w:hint="eastAsia" w:ascii="仿宋" w:hAnsi="仿宋" w:eastAsia="仿宋"/>
          <w:b w:val="0"/>
          <w:bCs/>
          <w:sz w:val="32"/>
          <w:szCs w:val="32"/>
        </w:rPr>
        <w:t>支出决算为基本支出22.81万元，完成预算146.50%，决算数大于预算数的主要原因是增加补缴新进行政单位职工基本养老保险缴费支出等。</w:t>
      </w:r>
    </w:p>
    <w:p>
      <w:pPr>
        <w:spacing w:line="600" w:lineRule="exact"/>
        <w:ind w:firstLine="643" w:firstLineChars="200"/>
        <w:rPr>
          <w:rStyle w:val="20"/>
          <w:rFonts w:ascii="仿宋" w:hAnsi="仿宋" w:eastAsia="仿宋"/>
          <w:b w:val="0"/>
          <w:sz w:val="32"/>
          <w:szCs w:val="32"/>
        </w:rPr>
      </w:pPr>
      <w:r>
        <w:rPr>
          <w:rStyle w:val="20"/>
          <w:rFonts w:hint="eastAsia" w:ascii="仿宋" w:hAnsi="仿宋" w:eastAsia="仿宋"/>
          <w:bCs/>
          <w:sz w:val="32"/>
          <w:szCs w:val="32"/>
        </w:rPr>
        <w:t>12</w:t>
      </w:r>
      <w:r>
        <w:rPr>
          <w:rStyle w:val="20"/>
          <w:rFonts w:ascii="仿宋" w:hAnsi="仿宋" w:eastAsia="仿宋"/>
          <w:bCs/>
          <w:sz w:val="32"/>
          <w:szCs w:val="32"/>
        </w:rPr>
        <w:t>.</w:t>
      </w:r>
      <w:r>
        <w:rPr>
          <w:rStyle w:val="20"/>
          <w:rFonts w:hint="eastAsia" w:ascii="仿宋" w:hAnsi="仿宋" w:eastAsia="仿宋"/>
          <w:bCs/>
          <w:sz w:val="32"/>
          <w:szCs w:val="32"/>
        </w:rPr>
        <w:t>社会保障和就业支出（208类）行政事业单位离退休（05款）机关事业单位职业年金缴费支出（06项）</w:t>
      </w:r>
      <w:r>
        <w:rPr>
          <w:rStyle w:val="20"/>
          <w:rFonts w:ascii="仿宋" w:hAnsi="仿宋" w:eastAsia="仿宋"/>
          <w:bCs/>
          <w:sz w:val="32"/>
          <w:szCs w:val="32"/>
        </w:rPr>
        <w:t>:</w:t>
      </w:r>
      <w:r>
        <w:rPr>
          <w:rStyle w:val="20"/>
          <w:rFonts w:ascii="仿宋" w:hAnsi="仿宋" w:eastAsia="仿宋"/>
          <w:b w:val="0"/>
          <w:sz w:val="32"/>
          <w:szCs w:val="32"/>
        </w:rPr>
        <w:t xml:space="preserve"> </w:t>
      </w:r>
      <w:r>
        <w:rPr>
          <w:rStyle w:val="20"/>
          <w:rFonts w:hint="eastAsia" w:ascii="仿宋" w:hAnsi="仿宋" w:eastAsia="仿宋"/>
          <w:b w:val="0"/>
          <w:sz w:val="32"/>
          <w:szCs w:val="32"/>
        </w:rPr>
        <w:t>支出决算为</w:t>
      </w:r>
      <w:r>
        <w:rPr>
          <w:rStyle w:val="20"/>
          <w:rFonts w:hint="eastAsia" w:ascii="仿宋" w:hAnsi="仿宋" w:eastAsia="仿宋"/>
          <w:b w:val="0"/>
          <w:bCs/>
          <w:sz w:val="32"/>
          <w:szCs w:val="32"/>
        </w:rPr>
        <w:t>基本支出</w:t>
      </w:r>
      <w:r>
        <w:rPr>
          <w:rStyle w:val="20"/>
          <w:rFonts w:hint="eastAsia" w:ascii="仿宋" w:hAnsi="仿宋" w:eastAsia="仿宋"/>
          <w:b w:val="0"/>
          <w:sz w:val="32"/>
          <w:szCs w:val="32"/>
        </w:rPr>
        <w:t>11.22万元，</w:t>
      </w:r>
      <w:r>
        <w:rPr>
          <w:rStyle w:val="20"/>
          <w:rFonts w:hint="eastAsia" w:ascii="仿宋" w:hAnsi="仿宋" w:eastAsia="仿宋"/>
          <w:b w:val="0"/>
          <w:bCs/>
          <w:sz w:val="32"/>
          <w:szCs w:val="32"/>
        </w:rPr>
        <w:t>完成预算144.21%，</w:t>
      </w:r>
      <w:r>
        <w:rPr>
          <w:rStyle w:val="20"/>
          <w:rFonts w:hint="eastAsia" w:ascii="仿宋" w:hAnsi="仿宋" w:eastAsia="仿宋"/>
          <w:b w:val="0"/>
          <w:sz w:val="32"/>
          <w:szCs w:val="32"/>
        </w:rPr>
        <w:t>决算数大于预算数的主要原因是增加新进行政1人职业年金缴费等。</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bCs/>
          <w:sz w:val="32"/>
          <w:szCs w:val="32"/>
        </w:rPr>
        <w:t>13</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卫生健康支出（210类）行政事业单位医疗（11款）行政单位医疗（01项）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支出决算为基本支出6.5万元，完成预算的112.07</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sz w:val="32"/>
          <w:szCs w:val="32"/>
        </w:rPr>
        <w:t>决算数大于预算数的主要原因是增加行政单位医疗缴费支出</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0"/>
          <w:rFonts w:hint="eastAsia" w:ascii="仿宋" w:hAnsi="仿宋" w:eastAsia="仿宋"/>
          <w:bCs/>
          <w:sz w:val="32"/>
          <w:szCs w:val="32"/>
        </w:rPr>
        <w:t>14</w:t>
      </w:r>
      <w:r>
        <w:rPr>
          <w:rStyle w:val="20"/>
          <w:rFonts w:ascii="仿宋" w:hAnsi="仿宋" w:eastAsia="仿宋"/>
          <w:bCs/>
          <w:sz w:val="32"/>
          <w:szCs w:val="32"/>
        </w:rPr>
        <w:t>.</w:t>
      </w:r>
      <w:r>
        <w:rPr>
          <w:rStyle w:val="20"/>
          <w:rFonts w:hint="eastAsia" w:ascii="仿宋" w:hAnsi="仿宋" w:eastAsia="仿宋"/>
          <w:bCs/>
          <w:sz w:val="32"/>
          <w:szCs w:val="32"/>
        </w:rPr>
        <w:t>卫生健康支出（210类）行政事业单位医疗（11款）事业单位医疗（02项）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支出决算为基本支出2.45万元，完成预算的105</w:t>
      </w:r>
      <w:r>
        <w:rPr>
          <w:rStyle w:val="20"/>
          <w:rFonts w:ascii="仿宋" w:hAnsi="仿宋" w:eastAsia="仿宋"/>
          <w:b w:val="0"/>
          <w:bCs/>
          <w:sz w:val="32"/>
          <w:szCs w:val="32"/>
        </w:rPr>
        <w:t>%</w:t>
      </w:r>
      <w:r>
        <w:rPr>
          <w:rStyle w:val="20"/>
          <w:rFonts w:hint="eastAsia" w:ascii="仿宋" w:hAnsi="仿宋" w:eastAsia="仿宋"/>
          <w:b w:val="0"/>
          <w:bCs/>
          <w:sz w:val="32"/>
          <w:szCs w:val="32"/>
        </w:rPr>
        <w:t>，决算数大于预算数</w:t>
      </w:r>
      <w:r>
        <w:rPr>
          <w:rStyle w:val="20"/>
          <w:rFonts w:hint="eastAsia" w:ascii="仿宋" w:hAnsi="仿宋" w:eastAsia="仿宋"/>
          <w:b w:val="0"/>
          <w:sz w:val="32"/>
          <w:szCs w:val="32"/>
        </w:rPr>
        <w:t>的主要原因是增加行政事业医疗缴费支出</w:t>
      </w:r>
      <w:r>
        <w:rPr>
          <w:rStyle w:val="20"/>
          <w:rFonts w:hint="eastAsia" w:ascii="仿宋" w:hAnsi="仿宋" w:eastAsia="仿宋"/>
          <w:b w:val="0"/>
          <w:bCs/>
          <w:sz w:val="32"/>
          <w:szCs w:val="32"/>
        </w:rPr>
        <w:t>。</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sz w:val="32"/>
          <w:szCs w:val="32"/>
        </w:rPr>
        <w:t>15.</w:t>
      </w:r>
      <w:r>
        <w:rPr>
          <w:rStyle w:val="20"/>
          <w:rFonts w:hint="eastAsia" w:ascii="仿宋" w:hAnsi="仿宋" w:eastAsia="仿宋"/>
          <w:bCs/>
          <w:sz w:val="32"/>
          <w:szCs w:val="32"/>
        </w:rPr>
        <w:t>卫生健康支出（210类）行政事业单位医疗（11款）公务员医疗补助（03项）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支出决算为基本支出8.3万元，完成预算的108.64</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sz w:val="32"/>
          <w:szCs w:val="32"/>
        </w:rPr>
        <w:t>决算数大于预算数的主要原因是增加行政单位公务员医疗缴费支出</w:t>
      </w:r>
      <w:r>
        <w:rPr>
          <w:rStyle w:val="20"/>
          <w:rFonts w:hint="eastAsia" w:ascii="仿宋" w:hAnsi="仿宋" w:eastAsia="仿宋"/>
          <w:b w:val="0"/>
          <w:bCs/>
          <w:sz w:val="32"/>
          <w:szCs w:val="32"/>
        </w:rPr>
        <w:t>。</w:t>
      </w:r>
    </w:p>
    <w:p>
      <w:pPr>
        <w:spacing w:line="600" w:lineRule="exact"/>
        <w:ind w:firstLine="643" w:firstLineChars="200"/>
        <w:rPr>
          <w:rStyle w:val="20"/>
          <w:rFonts w:ascii="仿宋" w:hAnsi="仿宋" w:eastAsia="仿宋"/>
          <w:b w:val="0"/>
          <w:bCs/>
          <w:sz w:val="32"/>
          <w:szCs w:val="32"/>
        </w:rPr>
      </w:pPr>
      <w:r>
        <w:rPr>
          <w:rStyle w:val="20"/>
          <w:rFonts w:hint="eastAsia" w:ascii="仿宋" w:hAnsi="仿宋" w:eastAsia="仿宋"/>
          <w:sz w:val="32"/>
          <w:szCs w:val="32"/>
        </w:rPr>
        <w:t>16.</w:t>
      </w:r>
      <w:r>
        <w:rPr>
          <w:rStyle w:val="20"/>
          <w:rFonts w:hint="eastAsia" w:ascii="仿宋" w:hAnsi="仿宋" w:eastAsia="仿宋"/>
          <w:bCs/>
          <w:sz w:val="32"/>
          <w:szCs w:val="32"/>
        </w:rPr>
        <w:t>卫生健康支出（210类）行政事业单位医疗（11款）其他行政事业单位医疗支出（99项）</w:t>
      </w:r>
      <w:r>
        <w:rPr>
          <w:rStyle w:val="20"/>
          <w:rFonts w:ascii="仿宋" w:hAnsi="仿宋" w:eastAsia="仿宋"/>
          <w:bCs/>
          <w:sz w:val="32"/>
          <w:szCs w:val="32"/>
        </w:rPr>
        <w:t>:</w:t>
      </w:r>
      <w:r>
        <w:rPr>
          <w:rStyle w:val="20"/>
          <w:rFonts w:hint="eastAsia" w:ascii="仿宋" w:hAnsi="仿宋" w:eastAsia="仿宋"/>
          <w:b w:val="0"/>
          <w:bCs/>
          <w:sz w:val="32"/>
          <w:szCs w:val="32"/>
        </w:rPr>
        <w:t>支出决算为基本支出2.37万元，完成预算的103</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 w:val="0"/>
          <w:sz w:val="32"/>
          <w:szCs w:val="32"/>
        </w:rPr>
        <w:t>决算数大于预算数的主要原因是增加事业单位医疗缴费支出</w:t>
      </w:r>
      <w:r>
        <w:rPr>
          <w:rStyle w:val="20"/>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17.住房保障支出</w:t>
      </w:r>
      <w:r>
        <w:rPr>
          <w:rStyle w:val="20"/>
          <w:rFonts w:hint="eastAsia" w:ascii="仿宋" w:hAnsi="仿宋" w:eastAsia="仿宋"/>
          <w:bCs/>
          <w:sz w:val="32"/>
          <w:szCs w:val="32"/>
        </w:rPr>
        <w:t>（221类）住房改革支出（02款）住房公积金（01项）:</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支出决算为基本支出21.94万元，完成预算173.3</w:t>
      </w:r>
      <w:r>
        <w:rPr>
          <w:rStyle w:val="20"/>
          <w:rFonts w:ascii="仿宋" w:hAnsi="仿宋" w:eastAsia="仿宋"/>
          <w:b w:val="0"/>
          <w:bCs/>
          <w:sz w:val="32"/>
          <w:szCs w:val="32"/>
        </w:rPr>
        <w:t>%</w:t>
      </w:r>
      <w:r>
        <w:rPr>
          <w:rStyle w:val="20"/>
          <w:rFonts w:hint="eastAsia" w:ascii="仿宋" w:hAnsi="仿宋" w:eastAsia="仿宋"/>
          <w:b w:val="0"/>
          <w:bCs/>
          <w:sz w:val="32"/>
          <w:szCs w:val="32"/>
        </w:rPr>
        <w:t>，决算数大于预算数的主要原因是新进职工1人以及行政事业单位职工正常晋级工资等增加住房公积金缴交基数、增加缴费支出。</w:t>
      </w:r>
    </w:p>
    <w:p>
      <w:pPr>
        <w:tabs>
          <w:tab w:val="right" w:pos="8306"/>
        </w:tabs>
        <w:spacing w:line="600" w:lineRule="exact"/>
        <w:outlineLvl w:val="1"/>
        <w:rPr>
          <w:rFonts w:ascii="黑体" w:eastAsia="黑体"/>
          <w:sz w:val="32"/>
          <w:szCs w:val="32"/>
        </w:rPr>
      </w:pPr>
      <w:bookmarkStart w:id="30" w:name="_Toc15396608"/>
      <w:bookmarkStart w:id="31" w:name="_Toc15377214"/>
    </w:p>
    <w:p>
      <w:pPr>
        <w:tabs>
          <w:tab w:val="right" w:pos="8306"/>
        </w:tabs>
        <w:spacing w:line="600" w:lineRule="exact"/>
        <w:ind w:firstLine="640" w:firstLineChars="200"/>
        <w:outlineLvl w:val="1"/>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30"/>
      <w:bookmarkEnd w:id="31"/>
      <w:r>
        <w:rPr>
          <w:rStyle w:val="33"/>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22年一般公共预算财政拨款基本支出421.24万元，其中：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371.91万元，主要包括：基本工资、津贴补贴、奖金、绩效工资、机关事业单位基本养老保险缴费、职业年金缴费、其他社会保障缴费、其他工资福利支出、离休费、退休费、生活补助、医疗费、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公用经费49.33万元，主要包括：办公费、水费、电费、邮电费、差旅费、培训费、公务接待费、劳务费、工会经费、福利费、公务用车运行维护费、其他交通费、其他商品和服务支出等。</w:t>
      </w:r>
    </w:p>
    <w:p>
      <w:pPr>
        <w:spacing w:line="600" w:lineRule="exact"/>
        <w:ind w:firstLine="640"/>
        <w:rPr>
          <w:rFonts w:ascii="仿宋" w:hAnsi="仿宋" w:eastAsia="仿宋"/>
          <w:b/>
          <w:sz w:val="32"/>
          <w:szCs w:val="32"/>
        </w:rPr>
      </w:pPr>
    </w:p>
    <w:p>
      <w:pPr>
        <w:spacing w:line="600" w:lineRule="exact"/>
        <w:ind w:firstLine="640"/>
        <w:outlineLvl w:val="1"/>
        <w:rPr>
          <w:rStyle w:val="33"/>
          <w:rFonts w:ascii="黑体" w:hAnsi="黑体" w:eastAsia="黑体"/>
          <w:b w:val="0"/>
        </w:rPr>
      </w:pPr>
      <w:bookmarkStart w:id="32" w:name="_Toc15396609"/>
      <w:bookmarkStart w:id="33" w:name="_Toc15377215"/>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32"/>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22年“三公”经费财政拨款支出决算为56.79万元，完成预算574.21%，较上年增加45.82万元，增长417.68%。决算数大于预算数的主要原因是新增公务用车购置费48.93万元。</w:t>
      </w:r>
    </w:p>
    <w:p>
      <w:pPr>
        <w:spacing w:line="600" w:lineRule="exact"/>
        <w:outlineLvl w:val="2"/>
        <w:rPr>
          <w:rFonts w:ascii="仿宋" w:hAnsi="仿宋" w:eastAsia="仿宋"/>
          <w:b/>
          <w:sz w:val="32"/>
          <w:szCs w:val="32"/>
        </w:rPr>
      </w:pPr>
      <w:bookmarkStart w:id="34" w:name="_Toc15377217"/>
      <w:r>
        <w:rPr>
          <w:rFonts w:hint="eastAsia" w:ascii="仿宋" w:hAnsi="仿宋" w:eastAsia="仿宋"/>
          <w:b/>
          <w:sz w:val="32"/>
          <w:szCs w:val="32"/>
        </w:rPr>
        <w:t>（二）“三公”经费财政拨款支出决算具体情况说明</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22年“三公”经费财政拨款支出决算中，因公出国（境）费支出决算0万元，占0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；公务用车购置及运行维护费支出决算56.64万元，占99.74</w:t>
      </w:r>
      <w:r>
        <w:rPr>
          <w:rFonts w:ascii="仿宋" w:hAnsi="仿宋" w:eastAsia="仿宋"/>
          <w:color w:val="000000"/>
          <w:sz w:val="32"/>
          <w:szCs w:val="32"/>
        </w:rPr>
        <w:t>%</w:t>
      </w:r>
      <w:r>
        <w:rPr>
          <w:rFonts w:hint="eastAsia" w:ascii="仿宋" w:hAnsi="仿宋" w:eastAsia="仿宋"/>
          <w:color w:val="000000"/>
          <w:sz w:val="32"/>
          <w:szCs w:val="32"/>
        </w:rPr>
        <w:t>；公务接待费支出决算0.15万元，占0.26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 w:hAnsi="仿宋" w:eastAsia="仿宋"/>
          <w:color w:val="FF0000"/>
          <w:sz w:val="32"/>
          <w:szCs w:val="32"/>
        </w:rPr>
      </w:pPr>
    </w:p>
    <w:p>
      <w:pPr>
        <w:pStyle w:val="9"/>
      </w:pPr>
    </w:p>
    <w:p>
      <w:pPr>
        <w:pStyle w:val="9"/>
        <w:ind w:firstLine="840" w:firstLineChars="400"/>
      </w:pPr>
      <w:r>
        <w:rPr>
          <w:rFonts w:hint="eastAsia"/>
        </w:rPr>
        <w:object>
          <v:shape id="_x0000_i1025" o:spt="75" type="#_x0000_t75" style="height:146.5pt;width:254.2pt;" o:ole="t" filled="f" o:preferrelative="t" stroked="f" coordsize="21600,21600" o:gfxdata="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">
            <v:path/>
            <v:fill on="f" focussize="0,0"/>
            <v:stroke on="f" joinstyle="miter"/>
            <v:imagedata r:id="rId17" o:title=""/>
            <o:lock v:ext="edit" aspectratio="f"/>
            <w10:wrap type="none"/>
            <w10:anchorlock/>
          </v:shape>
          <o:OLEObject Type="Embed" ProgID="Excel.Sheet.8" ShapeID="_x0000_i1025" DrawAspect="Content" ObjectID="_1468075728" r:id="rId16">
            <o:LockedField>false</o:LockedField>
          </o:OLEObject>
        </w:object>
      </w:r>
    </w:p>
    <w:p>
      <w:pPr>
        <w:pStyle w:val="9"/>
      </w:pPr>
    </w:p>
    <w:p>
      <w:pPr>
        <w:spacing w:line="60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20"/>
          <w:rFonts w:hint="eastAsia" w:ascii="仿宋" w:hAnsi="仿宋" w:eastAsia="仿宋"/>
          <w:b w:val="0"/>
          <w:bCs/>
          <w:sz w:val="32"/>
          <w:szCs w:val="32"/>
        </w:rPr>
        <w:t>完成预算0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sz w:val="32"/>
          <w:szCs w:val="32"/>
        </w:rPr>
        <w:t>开支内容包括：本部门</w:t>
      </w:r>
      <w:r>
        <w:rPr>
          <w:rFonts w:hint="eastAsia" w:ascii="仿宋_GB2312" w:eastAsia="仿宋_GB2312"/>
          <w:color w:val="000000"/>
          <w:sz w:val="32"/>
          <w:szCs w:val="32"/>
        </w:rPr>
        <w:t>无此项。</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56.64万元</w:t>
      </w:r>
      <w:r>
        <w:rPr>
          <w:rFonts w:ascii="仿宋_GB2312" w:eastAsia="仿宋_GB2312"/>
          <w:color w:val="000000"/>
          <w:sz w:val="32"/>
          <w:szCs w:val="32"/>
        </w:rPr>
        <w:t>,</w:t>
      </w:r>
      <w:r>
        <w:rPr>
          <w:rStyle w:val="20"/>
          <w:rFonts w:hint="eastAsia" w:ascii="仿宋" w:hAnsi="仿宋" w:eastAsia="仿宋"/>
          <w:b w:val="0"/>
          <w:bCs/>
          <w:color w:val="000000"/>
          <w:sz w:val="32"/>
          <w:szCs w:val="32"/>
        </w:rPr>
        <w:t>完成预算584</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w:t>
      </w:r>
      <w:r>
        <w:rPr>
          <w:rFonts w:hint="eastAsia" w:ascii="仿宋_GB2312" w:eastAsia="仿宋_GB2312"/>
          <w:color w:val="000000"/>
          <w:sz w:val="32"/>
          <w:szCs w:val="32"/>
        </w:rPr>
        <w:t>21年增加46.61万元，增加465</w:t>
      </w:r>
      <w:r>
        <w:rPr>
          <w:rFonts w:ascii="仿宋_GB2312" w:eastAsia="仿宋_GB2312"/>
          <w:color w:val="000000"/>
          <w:sz w:val="32"/>
          <w:szCs w:val="32"/>
        </w:rPr>
        <w:t>%</w:t>
      </w:r>
      <w:r>
        <w:rPr>
          <w:rFonts w:hint="eastAsia" w:ascii="仿宋_GB2312" w:eastAsia="仿宋_GB2312"/>
          <w:color w:val="000000"/>
          <w:sz w:val="32"/>
          <w:szCs w:val="32"/>
        </w:rPr>
        <w:t>。主要原因是新增公务用车购置费48.93万元。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公务用车购置支出48.93</w:t>
      </w:r>
      <w:r>
        <w:rPr>
          <w:rFonts w:hint="eastAsia" w:ascii="仿宋_GB2312" w:eastAsia="仿宋_GB2312"/>
          <w:color w:val="000000"/>
          <w:sz w:val="32"/>
          <w:szCs w:val="32"/>
        </w:rPr>
        <w:t>万元。全年按规定更新购置公务用车1辆，其中：轿车0辆、金额0万元，越野车1辆、金额48.93万元，载客汽车0辆、金额0万元。截至</w:t>
      </w:r>
      <w:r>
        <w:rPr>
          <w:rFonts w:ascii="仿宋_GB2312" w:eastAsia="仿宋_GB2312"/>
          <w:color w:val="000000"/>
          <w:sz w:val="32"/>
          <w:szCs w:val="32"/>
        </w:rPr>
        <w:t>20</w:t>
      </w:r>
      <w:r>
        <w:rPr>
          <w:rFonts w:hint="eastAsia" w:ascii="仿宋_GB2312" w:eastAsia="仿宋_GB2312"/>
          <w:color w:val="000000"/>
          <w:sz w:val="32"/>
          <w:szCs w:val="32"/>
        </w:rPr>
        <w:t>22年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月底，单位共有公务用车1辆，其中：轿车0辆、越野车1辆、载客汽车0辆。</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公务用车运行维护费支出7.71万元。主要用于开展科普业务调研、乡村振兴下乡、向上级汇报工作、外出参加会议（培训）等所需的公务用车燃料费、维修费、过路过桥费、保险费等支出。</w:t>
      </w:r>
    </w:p>
    <w:p>
      <w:pPr>
        <w:pStyle w:val="9"/>
      </w:pPr>
    </w:p>
    <w:p>
      <w:pPr>
        <w:spacing w:line="600" w:lineRule="exact"/>
        <w:ind w:firstLine="643" w:firstLineChars="200"/>
        <w:rPr>
          <w:rFonts w:ascii="仿宋_GB2312" w:eastAsia="仿宋_GB2312"/>
          <w:sz w:val="32"/>
          <w:szCs w:val="32"/>
        </w:rPr>
      </w:pPr>
      <w:bookmarkStart w:id="35" w:name="_Toc15396610"/>
      <w:bookmarkStart w:id="36" w:name="_Toc15377218"/>
      <w:r>
        <w:rPr>
          <w:rFonts w:hint="eastAsia" w:ascii="仿宋_GB2312" w:eastAsia="仿宋_GB2312"/>
          <w:b/>
          <w:color w:val="000000"/>
          <w:sz w:val="32"/>
          <w:szCs w:val="32"/>
        </w:rPr>
        <w:t>3.公务接待费支出0.15</w:t>
      </w:r>
      <w:r>
        <w:rPr>
          <w:rFonts w:hint="eastAsia" w:ascii="仿宋_GB2312" w:eastAsia="仿宋_GB2312"/>
          <w:color w:val="000000"/>
          <w:sz w:val="32"/>
          <w:szCs w:val="32"/>
        </w:rPr>
        <w:t>万元，</w:t>
      </w:r>
      <w:r>
        <w:rPr>
          <w:rStyle w:val="20"/>
          <w:rFonts w:hint="eastAsia" w:ascii="仿宋" w:hAnsi="仿宋" w:eastAsia="仿宋"/>
          <w:b w:val="0"/>
          <w:bCs/>
          <w:color w:val="000000"/>
          <w:sz w:val="32"/>
          <w:szCs w:val="32"/>
        </w:rPr>
        <w:t>完成预算79</w:t>
      </w:r>
      <w:r>
        <w:rPr>
          <w:rStyle w:val="20"/>
          <w:rFonts w:ascii="仿宋" w:hAnsi="仿宋" w:eastAsia="仿宋"/>
          <w:b w:val="0"/>
          <w:bCs/>
          <w:color w:val="000000"/>
          <w:sz w:val="32"/>
          <w:szCs w:val="32"/>
        </w:rPr>
        <w:t>%</w:t>
      </w:r>
      <w:r>
        <w:rPr>
          <w:rStyle w:val="20"/>
          <w:rFonts w:hint="eastAsia" w:ascii="仿宋" w:hAnsi="仿宋" w:eastAsia="仿宋"/>
          <w:b w:val="0"/>
          <w:bCs/>
          <w:color w:val="000000"/>
          <w:sz w:val="32"/>
          <w:szCs w:val="32"/>
        </w:rPr>
        <w:t>。</w:t>
      </w:r>
      <w:r>
        <w:rPr>
          <w:rFonts w:hint="eastAsia" w:ascii="仿宋_GB2312" w:eastAsia="仿宋_GB2312"/>
          <w:color w:val="000000"/>
          <w:sz w:val="32"/>
          <w:szCs w:val="32"/>
        </w:rPr>
        <w:t>公务接待费支</w:t>
      </w:r>
      <w:r>
        <w:rPr>
          <w:rFonts w:hint="eastAsia" w:ascii="仿宋_GB2312" w:eastAsia="仿宋_GB2312"/>
          <w:sz w:val="32"/>
          <w:szCs w:val="32"/>
        </w:rPr>
        <w:t>出决算比2021年减少0.79万元，减少527</w:t>
      </w:r>
      <w:r>
        <w:rPr>
          <w:rFonts w:ascii="仿宋_GB2312" w:eastAsia="仿宋_GB2312"/>
          <w:sz w:val="32"/>
          <w:szCs w:val="32"/>
        </w:rPr>
        <w:t>%</w:t>
      </w:r>
      <w:r>
        <w:rPr>
          <w:rFonts w:hint="eastAsia" w:ascii="仿宋_GB2312" w:eastAsia="仿宋_GB2312"/>
          <w:sz w:val="32"/>
          <w:szCs w:val="32"/>
        </w:rPr>
        <w:t>。主要原因是单位严格执行中央八项规定，省委省政府十项规定，厉行节约，严管严控接待费。其中：</w:t>
      </w:r>
    </w:p>
    <w:p>
      <w:pPr>
        <w:spacing w:line="600" w:lineRule="exact"/>
        <w:ind w:firstLine="643" w:firstLineChars="200"/>
        <w:rPr>
          <w:rFonts w:ascii="仿宋_GB2312" w:eastAsia="仿宋_GB2312"/>
          <w:color w:val="FF0000"/>
          <w:sz w:val="32"/>
          <w:szCs w:val="32"/>
        </w:rPr>
      </w:pPr>
      <w:r>
        <w:rPr>
          <w:rFonts w:hint="eastAsia" w:ascii="仿宋" w:hAnsi="仿宋" w:eastAsia="仿宋"/>
          <w:b/>
          <w:sz w:val="32"/>
          <w:szCs w:val="32"/>
        </w:rPr>
        <w:t>国内公务接待支出</w:t>
      </w:r>
      <w:r>
        <w:rPr>
          <w:rFonts w:hint="eastAsia" w:ascii="仿宋" w:hAnsi="仿宋" w:eastAsia="仿宋"/>
          <w:sz w:val="32"/>
          <w:szCs w:val="32"/>
        </w:rPr>
        <w:t>0.15</w:t>
      </w:r>
      <w:r>
        <w:rPr>
          <w:rFonts w:hint="eastAsia" w:ascii="仿宋_GB2312" w:eastAsia="仿宋_GB2312"/>
          <w:sz w:val="32"/>
          <w:szCs w:val="32"/>
        </w:rPr>
        <w:t>万元，主要用于开展业务活动开支的用餐费。国内公务接待2批次，18人（不包括陪同人员），共计支出0.15万元。具体内容主要包括：</w:t>
      </w:r>
      <w:r>
        <w:rPr>
          <w:rFonts w:hint="eastAsia" w:ascii="仿宋_GB2312" w:eastAsia="仿宋_GB2312"/>
          <w:color w:val="000000"/>
          <w:sz w:val="32"/>
          <w:szCs w:val="32"/>
        </w:rPr>
        <w:t>接待中国及省反邪教会理事及秘书长等6人开展反邪教宣传教育及科普培训0.1万元；接待宁波市科协12人凉山调研乡村振兴对接东西部协作0.05万元。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外事接待支出0</w:t>
      </w:r>
      <w:r>
        <w:rPr>
          <w:rFonts w:hint="eastAsia" w:ascii="仿宋_GB2312" w:eastAsia="仿宋_GB2312"/>
          <w:color w:val="000000"/>
          <w:sz w:val="32"/>
          <w:szCs w:val="32"/>
        </w:rPr>
        <w:t>万元，外事接待0批次，0人，共计支出0万元。</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其他国内公务接待支出0</w:t>
      </w:r>
      <w:r>
        <w:rPr>
          <w:rFonts w:hint="eastAsia" w:ascii="仿宋_GB2312" w:eastAsia="仿宋_GB2312"/>
          <w:color w:val="000000"/>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35"/>
      <w:bookmarkEnd w:id="3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33"/>
          <w:rFonts w:ascii="黑体" w:hAnsi="黑体" w:eastAsia="黑体"/>
          <w:b w:val="0"/>
        </w:rPr>
      </w:pPr>
      <w:bookmarkStart w:id="37" w:name="_Toc15377219"/>
      <w:bookmarkStart w:id="38" w:name="_Toc15396611"/>
      <w:r>
        <w:rPr>
          <w:rStyle w:val="33"/>
          <w:rFonts w:hint="eastAsia" w:ascii="黑体" w:hAnsi="黑体" w:eastAsia="黑体"/>
          <w:b w:val="0"/>
        </w:rPr>
        <w:t>国有资本经营预算支出决算情况说明</w:t>
      </w:r>
      <w:bookmarkEnd w:id="37"/>
      <w:bookmarkEnd w:id="38"/>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33"/>
          <w:rFonts w:ascii="黑体" w:hAnsi="黑体" w:eastAsia="黑体"/>
          <w:b w:val="0"/>
        </w:rPr>
      </w:pPr>
      <w:bookmarkStart w:id="39" w:name="_Toc15377221"/>
      <w:bookmarkStart w:id="40" w:name="_Toc15396612"/>
      <w:r>
        <w:rPr>
          <w:rStyle w:val="33"/>
          <w:rFonts w:hint="eastAsia" w:ascii="黑体" w:hAnsi="黑体" w:eastAsia="黑体"/>
          <w:b w:val="0"/>
        </w:rPr>
        <w:t>其他重要事项的情况说明</w:t>
      </w:r>
      <w:bookmarkEnd w:id="39"/>
      <w:bookmarkEnd w:id="40"/>
    </w:p>
    <w:p>
      <w:pPr>
        <w:spacing w:line="600" w:lineRule="exact"/>
        <w:ind w:firstLine="643" w:firstLineChars="200"/>
        <w:outlineLvl w:val="2"/>
        <w:rPr>
          <w:rFonts w:ascii="仿宋" w:hAnsi="仿宋" w:eastAsia="仿宋"/>
          <w:sz w:val="32"/>
          <w:szCs w:val="32"/>
        </w:rPr>
      </w:pPr>
      <w:bookmarkStart w:id="41" w:name="_Toc15377222"/>
      <w:r>
        <w:rPr>
          <w:rFonts w:hint="eastAsia" w:ascii="仿宋" w:hAnsi="仿宋" w:eastAsia="仿宋"/>
          <w:b/>
          <w:sz w:val="32"/>
          <w:szCs w:val="32"/>
        </w:rPr>
        <w:t>（一）机关运行经费支出情况</w:t>
      </w:r>
      <w:bookmarkEnd w:id="41"/>
    </w:p>
    <w:p>
      <w:pPr>
        <w:spacing w:line="600" w:lineRule="exact"/>
        <w:ind w:firstLine="640" w:firstLineChars="200"/>
        <w:rPr>
          <w:rFonts w:ascii="仿宋_GB2312" w:eastAsia="仿宋_GB2312"/>
          <w:sz w:val="32"/>
          <w:szCs w:val="32"/>
        </w:rPr>
      </w:pPr>
      <w:r>
        <w:rPr>
          <w:rFonts w:ascii="仿宋_GB2312" w:eastAsia="仿宋_GB2312"/>
          <w:color w:val="000000"/>
          <w:sz w:val="32"/>
          <w:szCs w:val="32"/>
        </w:rPr>
        <w:t>20</w:t>
      </w:r>
      <w:r>
        <w:rPr>
          <w:rFonts w:hint="eastAsia" w:ascii="仿宋_GB2312" w:eastAsia="仿宋_GB2312"/>
          <w:color w:val="000000"/>
          <w:sz w:val="32"/>
          <w:szCs w:val="32"/>
        </w:rPr>
        <w:t>22年，凉山州科学技术协会机关运行经费支出49.33万元，比2</w:t>
      </w:r>
      <w:r>
        <w:rPr>
          <w:rFonts w:hint="eastAsia" w:ascii="仿宋_GB2312" w:eastAsia="仿宋_GB2312"/>
          <w:sz w:val="32"/>
          <w:szCs w:val="32"/>
        </w:rPr>
        <w:t>021年减少3.56万元，减少7.2</w:t>
      </w:r>
      <w:r>
        <w:rPr>
          <w:rFonts w:ascii="仿宋_GB2312" w:eastAsia="仿宋_GB2312"/>
          <w:sz w:val="32"/>
          <w:szCs w:val="32"/>
        </w:rPr>
        <w:t>%</w:t>
      </w:r>
      <w:r>
        <w:rPr>
          <w:rFonts w:hint="eastAsia" w:ascii="仿宋_GB2312" w:eastAsia="仿宋_GB2312"/>
          <w:sz w:val="32"/>
          <w:szCs w:val="32"/>
        </w:rPr>
        <w:t>。主要是清算人员调出，此项机关行政运行办公经费开支相应减少。</w:t>
      </w:r>
    </w:p>
    <w:p>
      <w:pPr>
        <w:pStyle w:val="9"/>
      </w:pP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2" w:name="_Toc15377223"/>
      <w:r>
        <w:rPr>
          <w:rFonts w:hint="eastAsia" w:ascii="仿宋" w:hAnsi="仿宋" w:eastAsia="仿宋"/>
          <w:b/>
          <w:sz w:val="32"/>
          <w:szCs w:val="32"/>
        </w:rPr>
        <w:t>（二）政府采购支出情况</w:t>
      </w:r>
      <w:bookmarkEnd w:id="4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凉山州科学技术协会政府采购支出总额49.53万元，其中：政府采购货物支出49.53万元、政府采购工程支出0万元、政府采购服务项目支出0万元。主要用于购置公务用车1辆48.93万元、购置办公设备空调2台0.6万元。授予中小企业西昌璞瑞汽车销售服务有限责任公司公务用车采购合同（采购项目编号：凉竟采［2022］33号-1）48.93万元，占政府采购支出总额的99%；西昌格瑞电器销售公司办公设备空调采购合同（采购项目编号：凉竟采［2022］32号-1）0.6万元，占政府采购支出总额的1%；其中授予小微企业合同金额49.53万元，占政府采购支出总额的100%。</w:t>
      </w:r>
    </w:p>
    <w:p>
      <w:pPr>
        <w:pStyle w:val="9"/>
      </w:pP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3" w:name="_Toc15377224"/>
      <w:r>
        <w:rPr>
          <w:rFonts w:hint="eastAsia" w:ascii="仿宋" w:hAnsi="仿宋" w:eastAsia="仿宋"/>
          <w:b/>
          <w:sz w:val="32"/>
          <w:szCs w:val="32"/>
        </w:rPr>
        <w:t>（三）国有资产占有使用情况</w:t>
      </w:r>
      <w:bookmarkEnd w:id="4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22年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凉山州科学技术协会共有车辆1辆，其中：主要领导干部用车0辆、机要通信用车0辆、应急保障用车0辆、其他用车1辆。其他用车主要是用于开展科普业务调研、乡村振兴下乡、向上级汇报工作等所需的车辆。无单价</w:t>
      </w:r>
      <w:r>
        <w:rPr>
          <w:rFonts w:ascii="仿宋_GB2312" w:eastAsia="仿宋_GB2312"/>
          <w:color w:val="000000"/>
          <w:sz w:val="32"/>
          <w:szCs w:val="32"/>
        </w:rPr>
        <w:t>50</w:t>
      </w:r>
      <w:r>
        <w:rPr>
          <w:rFonts w:hint="eastAsia" w:ascii="仿宋_GB2312" w:eastAsia="仿宋_GB2312"/>
          <w:color w:val="000000"/>
          <w:sz w:val="32"/>
          <w:szCs w:val="32"/>
        </w:rPr>
        <w:t>万元以上通用设备，单价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sz w:val="32"/>
          <w:szCs w:val="32"/>
        </w:rPr>
        <w:t>0台（套）。</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州科协</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zh-CN"/>
        </w:rPr>
        <w:t>项目的管理严谨、</w:t>
      </w:r>
      <w:r>
        <w:rPr>
          <w:rFonts w:hint="eastAsia" w:ascii="仿宋_GB2312" w:hAnsi="仿宋_GB2312" w:eastAsia="仿宋_GB2312" w:cs="仿宋_GB2312"/>
          <w:sz w:val="32"/>
          <w:szCs w:val="32"/>
        </w:rPr>
        <w:t>严格执行《四川省科普专项资金管理办法》（川财教［2020］83号）、《凉山州科技计划项目专项资金管理办法》（凉财规［2020］2号）。党组坚持坚持“用钱必问效，无效必问责”的原则。每笔项目资金的支出遵守各项财经制度，如有大额资金支出需经党组同意并报备纪检组。要求各</w:t>
      </w:r>
      <w:r>
        <w:rPr>
          <w:rFonts w:hint="eastAsia" w:ascii="仿宋_GB2312" w:hAnsi="仿宋_GB2312" w:eastAsia="仿宋_GB2312" w:cs="仿宋_GB2312"/>
          <w:sz w:val="32"/>
          <w:szCs w:val="32"/>
          <w:lang w:val="zh-CN"/>
        </w:rPr>
        <w:t>项目组</w:t>
      </w:r>
      <w:r>
        <w:rPr>
          <w:rFonts w:hint="eastAsia" w:ascii="仿宋_GB2312" w:hAnsi="仿宋_GB2312" w:eastAsia="仿宋_GB2312" w:cs="仿宋_GB2312"/>
          <w:sz w:val="32"/>
          <w:szCs w:val="32"/>
        </w:rPr>
        <w:t>要事前进行调研，掌握必要的基本情况；事中加强实地考察以指导项目不偏离预期计划；事后组织对项目进行验收，确保项目实现目标。</w:t>
      </w:r>
      <w:r>
        <w:rPr>
          <w:rFonts w:hint="eastAsia" w:ascii="仿宋_GB2312" w:hAnsi="仿宋_GB2312" w:eastAsia="仿宋_GB2312" w:cs="仿宋_GB2312"/>
          <w:sz w:val="32"/>
          <w:szCs w:val="32"/>
          <w:lang w:val="zh-CN"/>
        </w:rPr>
        <w:t>因此相关管理制度机制健全、组织程序完善。</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中预算编制阶段，因2022年预算一体化正式上线，所有项目需要入库，按照要求我们对入库的11个项目开展了预算事前绩效评估，对11个项目编制了绩效目标，预算执行过程中，对11个项目开展绩效监控。</w:t>
      </w:r>
    </w:p>
    <w:p>
      <w:pPr>
        <w:pStyle w:val="38"/>
        <w:spacing w:line="578" w:lineRule="exact"/>
        <w:ind w:firstLine="640" w:firstLineChars="200"/>
        <w:jc w:val="left"/>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组织对2022年度一般公共预算全面开展绩效自评，形成凉山州科学技术协会部门整体绩效自评报告（详见附件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州级科普专项资金绩效自评报告</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2-1)、州级科普专项资金科普活动业务项目绩效自评报告（</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rPr>
        <w:t>2-2</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 xml:space="preserve">  </w:t>
      </w:r>
    </w:p>
    <w:p>
      <w:pPr>
        <w:pStyle w:val="38"/>
        <w:spacing w:line="578" w:lineRule="exact"/>
        <w:ind w:firstLine="640" w:firstLineChars="200"/>
        <w:jc w:val="left"/>
        <w:rPr>
          <w:rFonts w:hint="eastAsia" w:ascii="仿宋_GB2312" w:hAnsi="Calibri" w:eastAsia="仿宋_GB2312" w:cs="仿宋"/>
          <w:color w:val="auto"/>
          <w:sz w:val="32"/>
          <w:szCs w:val="32"/>
          <w:lang w:val="en-US" w:eastAsia="zh-CN"/>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凉山州科学技术协会部门整体绩效自评报告得分为94分。</w:t>
      </w:r>
      <w:r>
        <w:rPr>
          <w:rFonts w:hint="eastAsia" w:ascii="仿宋_GB2312" w:hAnsi="仿宋_GB2312" w:eastAsia="仿宋_GB2312" w:cs="仿宋_GB2312"/>
          <w:sz w:val="32"/>
          <w:szCs w:val="32"/>
        </w:rPr>
        <w:t>绩效自评综述：2022年在新冠疫情继续爆发的情况下，我们始终紧密团结在党中央的周围，听从党的统一战略部署，努力完成了省科协及州委州政府部署的“天府科技云”及新冠疫情防控、森林防灭火、党建，全力推动乡村振兴等重点工作任务，完成了日常各项业务及科普工作，并取得了“天府科技云”科创会上共达成交易订单2655 笔、金额合计超过2亿元；推进学会工作提升了服务发展能力；推进院士（专家）工作站建设，实施了人才兴州战略；开展科技、科普惠民工程，全面提升大众科学素养；扎实开展青少年科技教育，提高青少年科学素养；巩固了脱贫攻坚成果乡村振兴有效衔接。项目的完成，实现了州科协“四服务”的职能职责，为凉山经济发展和社会进步</w:t>
      </w:r>
      <w:r>
        <w:rPr>
          <w:rFonts w:hint="eastAsia" w:ascii="仿宋_GB2312" w:hAnsi="仿宋_GB2312" w:eastAsia="仿宋_GB2312" w:cs="仿宋_GB2312"/>
          <w:color w:val="auto"/>
          <w:sz w:val="32"/>
          <w:szCs w:val="32"/>
        </w:rPr>
        <w:t>做出了应有的贡献。在执行预算中，支出经济科目在预算编制和实际支出决算上存在一定的差异，体现了编制不够精准；年末对重点项目进行了追踪，完成情况良好，但因受疫情影响项目执行进度前期较缓慢，极个别绩效目标实际完成有点偏离预期指标。在绩效结果应用方面，按照州财政局工作要求，我部门于年</w:t>
      </w:r>
      <w:r>
        <w:rPr>
          <w:rFonts w:hint="eastAsia" w:ascii="仿宋_GB2312" w:hAnsi="Calibri" w:eastAsia="仿宋_GB2312" w:cs="仿宋"/>
          <w:sz w:val="32"/>
          <w:szCs w:val="32"/>
        </w:rPr>
        <w:t>度将本级部门预算、决算批复、整体支出和项目支出绩效评价报告以及转移支付绩效目标表等相关表格在规定的时间内，在凉山州政府网站和州科学技术协会网站进行公开公示；州科协党组针对自评找出的问题进行整改，要求各部门优化细化预算编制，重视对经济科目的编制，防止执行预算时发生较大的差异；预算资金使用的管理上有待加强，应按预算进度及时支付，完成工作，避免资金滞留账上。我们在单位开展部门整体</w:t>
      </w:r>
      <w:r>
        <w:rPr>
          <w:rFonts w:hint="eastAsia" w:ascii="仿宋_GB2312" w:hAnsi="Calibri" w:eastAsia="仿宋_GB2312" w:cs="仿宋"/>
          <w:color w:val="auto"/>
          <w:sz w:val="32"/>
          <w:szCs w:val="32"/>
        </w:rPr>
        <w:t>支出绩效管理工作自查自评中，内容完整、观点客观、建议举措具有一定价值，工作中能够对照问题按照规章制度严格执行立即整改。综上所述，故自评扣分</w:t>
      </w:r>
      <w:r>
        <w:rPr>
          <w:rFonts w:hint="eastAsia" w:ascii="仿宋_GB2312" w:hAnsi="Calibri" w:eastAsia="仿宋_GB2312" w:cs="仿宋"/>
          <w:color w:val="auto"/>
          <w:sz w:val="32"/>
          <w:szCs w:val="32"/>
          <w:lang w:val="en-US" w:eastAsia="zh-CN"/>
        </w:rPr>
        <w:t>6</w:t>
      </w:r>
      <w:r>
        <w:rPr>
          <w:rFonts w:hint="eastAsia" w:ascii="仿宋_GB2312" w:hAnsi="Calibri" w:eastAsia="仿宋_GB2312" w:cs="仿宋"/>
          <w:color w:val="auto"/>
          <w:sz w:val="32"/>
          <w:szCs w:val="32"/>
          <w:lang w:val="en-US"/>
        </w:rPr>
        <w:t>分，</w:t>
      </w:r>
      <w:r>
        <w:rPr>
          <w:rFonts w:hint="eastAsia" w:ascii="仿宋_GB2312" w:hAnsi="Calibri" w:eastAsia="仿宋_GB2312" w:cs="仿宋"/>
          <w:color w:val="auto"/>
          <w:sz w:val="32"/>
          <w:szCs w:val="32"/>
        </w:rPr>
        <w:t>得分</w:t>
      </w:r>
      <w:r>
        <w:rPr>
          <w:rFonts w:hint="eastAsia" w:ascii="仿宋_GB2312" w:hAnsi="Calibri" w:eastAsia="仿宋_GB2312" w:cs="仿宋"/>
          <w:color w:val="auto"/>
          <w:sz w:val="32"/>
          <w:szCs w:val="32"/>
          <w:lang w:val="en-US" w:eastAsia="zh-CN"/>
        </w:rPr>
        <w:t>94</w:t>
      </w:r>
      <w:r>
        <w:rPr>
          <w:rFonts w:hint="eastAsia" w:ascii="仿宋_GB2312" w:hAnsi="Calibri" w:eastAsia="仿宋_GB2312" w:cs="仿宋"/>
          <w:color w:val="auto"/>
          <w:sz w:val="32"/>
          <w:szCs w:val="32"/>
        </w:rPr>
        <w:t>分。</w:t>
      </w:r>
      <w:r>
        <w:rPr>
          <w:rFonts w:hint="eastAsia" w:ascii="仿宋_GB2312" w:hAnsi="Calibri" w:eastAsia="仿宋_GB2312" w:cs="仿宋"/>
          <w:color w:val="auto"/>
          <w:sz w:val="32"/>
          <w:szCs w:val="32"/>
          <w:lang w:val="en-US" w:eastAsia="zh-CN"/>
        </w:rPr>
        <w:t>(整体</w:t>
      </w:r>
      <w:r>
        <w:rPr>
          <w:rFonts w:hint="eastAsia" w:ascii="仿宋_GB2312" w:hAnsi="Calibri" w:eastAsia="仿宋_GB2312" w:cs="仿宋"/>
          <w:color w:val="auto"/>
          <w:sz w:val="32"/>
          <w:szCs w:val="32"/>
        </w:rPr>
        <w:t>绩效自评报告详见附件</w:t>
      </w:r>
      <w:r>
        <w:rPr>
          <w:rFonts w:hint="eastAsia" w:ascii="仿宋_GB2312" w:hAnsi="Calibri" w:eastAsia="仿宋_GB2312" w:cs="仿宋"/>
          <w:color w:val="auto"/>
          <w:sz w:val="32"/>
          <w:szCs w:val="32"/>
          <w:lang w:val="en-US"/>
        </w:rPr>
        <w:t>1</w:t>
      </w:r>
      <w:r>
        <w:rPr>
          <w:rFonts w:hint="eastAsia" w:ascii="仿宋_GB2312" w:hAnsi="Calibri" w:eastAsia="仿宋_GB2312" w:cs="仿宋"/>
          <w:color w:val="auto"/>
          <w:sz w:val="32"/>
          <w:szCs w:val="32"/>
          <w:lang w:val="en-US" w:eastAsia="zh-CN"/>
        </w:rPr>
        <w:t>)</w:t>
      </w:r>
    </w:p>
    <w:p>
      <w:pPr>
        <w:adjustRightInd w:val="0"/>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2.州级科普专项资金绩效自评报告</w:t>
      </w:r>
      <w:r>
        <w:rPr>
          <w:rFonts w:hint="eastAsia" w:ascii="仿宋_GB2312" w:hAnsi="Calibri" w:eastAsia="仿宋_GB2312" w:cs="仿宋"/>
          <w:kern w:val="0"/>
          <w:sz w:val="32"/>
          <w:szCs w:val="32"/>
          <w:lang w:val="zh-CN"/>
        </w:rPr>
        <w:t>自评得分为9</w:t>
      </w:r>
      <w:r>
        <w:rPr>
          <w:rFonts w:hint="eastAsia" w:ascii="仿宋_GB2312" w:hAnsi="Calibri" w:eastAsia="仿宋_GB2312" w:cs="仿宋"/>
          <w:kern w:val="0"/>
          <w:sz w:val="32"/>
          <w:szCs w:val="32"/>
        </w:rPr>
        <w:t>5</w:t>
      </w:r>
      <w:r>
        <w:rPr>
          <w:rFonts w:hint="eastAsia" w:ascii="仿宋_GB2312" w:hAnsi="Calibri" w:eastAsia="仿宋_GB2312" w:cs="仿宋"/>
          <w:kern w:val="0"/>
          <w:sz w:val="32"/>
          <w:szCs w:val="32"/>
          <w:lang w:val="zh-CN"/>
        </w:rPr>
        <w:t>分。综述：</w:t>
      </w:r>
      <w:r>
        <w:rPr>
          <w:rFonts w:hint="eastAsia" w:ascii="仿宋_GB2312" w:hAnsi="Calibri" w:eastAsia="仿宋_GB2312" w:cs="仿宋"/>
          <w:kern w:val="0"/>
          <w:sz w:val="32"/>
          <w:szCs w:val="32"/>
        </w:rPr>
        <w:t>2022年初</w:t>
      </w:r>
      <w:r>
        <w:rPr>
          <w:rFonts w:hint="eastAsia" w:ascii="仿宋_GB2312" w:hAnsi="Calibri" w:eastAsia="仿宋_GB2312" w:cs="仿宋"/>
          <w:kern w:val="0"/>
          <w:sz w:val="32"/>
          <w:szCs w:val="32"/>
          <w:lang w:val="zh-CN"/>
        </w:rPr>
        <w:t>凉山州科协党组</w:t>
      </w:r>
      <w:r>
        <w:rPr>
          <w:rFonts w:hint="eastAsia" w:ascii="仿宋_GB2312" w:hAnsi="Calibri" w:eastAsia="仿宋_GB2312" w:cs="仿宋"/>
          <w:kern w:val="0"/>
          <w:sz w:val="32"/>
          <w:szCs w:val="32"/>
        </w:rPr>
        <w:t>围绕省科协重点工作“天府科技云服务”为主线，结合州委州政府工作规划要点及各科室具体工作，统筹考虑、科学分配各项目组149.3万元，年中州财政追拨州级科普专项资金65万元，因新冠疫情反复发生，无法实施州科协系统干部能力提升培训计划上缴州财政25万元，故年度可执行预算资金189.3万元。年度调整预算执行率100%，完成了⑴公共服务及基础设施运行保障项目，实施了组织全州科协系统前往浙江省宁波市考察学习，提升党员干部综合素质。确保视讯中心正常运行、互联网+科普平台建设网络运行维护。召开科协业务工作会，组织参加相关部门业务、党务培训。为新办公区采购办公设备等。实现了州科协项目工作</w:t>
      </w:r>
      <w:r>
        <w:rPr>
          <w:rFonts w:hint="eastAsia" w:ascii="仿宋_GB2312" w:hAnsi="Calibri" w:eastAsia="仿宋_GB2312" w:cs="仿宋"/>
          <w:kern w:val="0"/>
          <w:sz w:val="32"/>
          <w:szCs w:val="32"/>
          <w:lang w:val="zh-CN"/>
        </w:rPr>
        <w:t>常态跟进，确保高质量</w:t>
      </w:r>
      <w:r>
        <w:rPr>
          <w:rFonts w:hint="eastAsia" w:ascii="仿宋_GB2312" w:hAnsi="Calibri" w:eastAsia="仿宋_GB2312" w:cs="仿宋"/>
          <w:kern w:val="0"/>
          <w:sz w:val="32"/>
          <w:szCs w:val="32"/>
        </w:rPr>
        <w:t>全方位服务大局的统领作用；⑵“天府科技云服务”项目。该项目主要用于全程精准“保姆式”服务外聘工作人员劳务费、平台网络运行维护费、召开专题会议、专项培训、调研检查验收相关工作等。实现了科技服务供给、科研成果转化、科研项目承接、科普服务直达等天府云工作落地落实；⑶学会能力提升计划项目，该项目主要用于支持凉山州科协所属学会（含专委会）、协会等社团组织及科研团队等开展工作，聘请专家评审，召开专项会议、调研收集项目情况等。项目的实施提升了科普宣传</w:t>
      </w:r>
      <w:r>
        <w:rPr>
          <w:rFonts w:hint="eastAsia" w:ascii="仿宋_GB2312" w:hAnsi="Calibri" w:eastAsia="仿宋_GB2312" w:cs="仿宋"/>
          <w:kern w:val="0"/>
          <w:sz w:val="32"/>
          <w:szCs w:val="32"/>
          <w:lang w:eastAsia="zh-CN"/>
        </w:rPr>
        <w:t>、</w:t>
      </w:r>
      <w:r>
        <w:rPr>
          <w:rFonts w:hint="eastAsia" w:ascii="仿宋_GB2312" w:hAnsi="Calibri" w:eastAsia="仿宋_GB2312" w:cs="仿宋"/>
          <w:kern w:val="0"/>
          <w:sz w:val="32"/>
          <w:szCs w:val="32"/>
        </w:rPr>
        <w:t>人才培养举荐、学术交流等</w:t>
      </w:r>
      <w:r>
        <w:rPr>
          <w:rFonts w:hint="eastAsia" w:ascii="仿宋_GB2312" w:hAnsi="Calibri" w:eastAsia="仿宋_GB2312" w:cs="仿宋"/>
          <w:kern w:val="0"/>
          <w:sz w:val="32"/>
          <w:szCs w:val="32"/>
          <w:lang w:eastAsia="zh-CN"/>
        </w:rPr>
        <w:t>，</w:t>
      </w:r>
      <w:r>
        <w:rPr>
          <w:rFonts w:hint="eastAsia" w:ascii="仿宋_GB2312" w:hAnsi="Calibri" w:eastAsia="仿宋_GB2312" w:cs="仿宋"/>
          <w:kern w:val="0"/>
          <w:sz w:val="32"/>
          <w:szCs w:val="32"/>
        </w:rPr>
        <w:t>促进学会健康发展；⑷青少年科技创新教育项目，项目开展了第37届和第38届青少年科技创新大赛；组织开展青少年科普调查体验活动，购置科普资源包；开展青少年科技辅导能力提升培训等。实现了</w:t>
      </w:r>
      <w:r>
        <w:rPr>
          <w:rFonts w:hint="eastAsia" w:ascii="仿宋_GB2312" w:hAnsi="Calibri" w:eastAsia="仿宋_GB2312" w:cs="仿宋"/>
          <w:kern w:val="0"/>
          <w:sz w:val="32"/>
          <w:szCs w:val="32"/>
          <w:lang w:val="zh-CN"/>
        </w:rPr>
        <w:t>开阔青少年的科学视野，培养科学思维和实践能力，对他们的科学兴趣、科学理想进行深度的引导，为凉山培养科技创新后备人才发挥了积极的作用</w:t>
      </w:r>
      <w:r>
        <w:rPr>
          <w:rFonts w:hint="eastAsia" w:ascii="仿宋_GB2312" w:hAnsi="Calibri" w:eastAsia="仿宋_GB2312" w:cs="仿宋"/>
          <w:kern w:val="0"/>
          <w:sz w:val="32"/>
          <w:szCs w:val="32"/>
        </w:rPr>
        <w:t>；⑸农技协科普项目。该项目为</w:t>
      </w:r>
      <w:r>
        <w:rPr>
          <w:rFonts w:hint="eastAsia" w:ascii="仿宋_GB2312" w:hAnsi="Calibri" w:eastAsia="仿宋_GB2312" w:cs="仿宋"/>
          <w:kern w:val="0"/>
          <w:sz w:val="32"/>
          <w:szCs w:val="32"/>
          <w:lang w:eastAsia="en-US"/>
        </w:rPr>
        <w:t>乡村振兴重点县</w:t>
      </w:r>
      <w:r>
        <w:rPr>
          <w:rFonts w:hint="eastAsia" w:ascii="仿宋_GB2312" w:hAnsi="Calibri" w:eastAsia="仿宋_GB2312" w:cs="仿宋"/>
          <w:kern w:val="0"/>
          <w:sz w:val="32"/>
          <w:szCs w:val="32"/>
        </w:rPr>
        <w:t>和对工作突出的县级农技协，</w:t>
      </w:r>
      <w:r>
        <w:rPr>
          <w:rFonts w:hint="eastAsia" w:ascii="仿宋_GB2312" w:hAnsi="Calibri" w:eastAsia="仿宋_GB2312" w:cs="仿宋"/>
          <w:kern w:val="0"/>
          <w:sz w:val="32"/>
          <w:szCs w:val="32"/>
          <w:lang w:eastAsia="en-US"/>
        </w:rPr>
        <w:t>州农技协利用自身资源</w:t>
      </w:r>
      <w:r>
        <w:rPr>
          <w:rFonts w:hint="eastAsia" w:ascii="仿宋_GB2312" w:hAnsi="Calibri" w:eastAsia="仿宋_GB2312" w:cs="仿宋"/>
          <w:kern w:val="0"/>
          <w:sz w:val="32"/>
          <w:szCs w:val="32"/>
        </w:rPr>
        <w:t>优势</w:t>
      </w:r>
      <w:r>
        <w:rPr>
          <w:rFonts w:hint="eastAsia" w:ascii="仿宋_GB2312" w:hAnsi="Calibri" w:eastAsia="仿宋_GB2312" w:cs="仿宋"/>
          <w:kern w:val="0"/>
          <w:sz w:val="32"/>
          <w:szCs w:val="32"/>
          <w:lang w:eastAsia="en-US"/>
        </w:rPr>
        <w:t>请行业专家到实地对农村乡土人才</w:t>
      </w:r>
      <w:r>
        <w:rPr>
          <w:rFonts w:hint="eastAsia" w:ascii="仿宋_GB2312" w:hAnsi="Calibri" w:eastAsia="仿宋_GB2312" w:cs="仿宋"/>
          <w:kern w:val="0"/>
          <w:sz w:val="32"/>
          <w:szCs w:val="32"/>
        </w:rPr>
        <w:t>、</w:t>
      </w:r>
      <w:r>
        <w:rPr>
          <w:rFonts w:hint="eastAsia" w:ascii="仿宋_GB2312" w:hAnsi="Calibri" w:eastAsia="仿宋_GB2312" w:cs="仿宋"/>
          <w:kern w:val="0"/>
          <w:sz w:val="32"/>
          <w:szCs w:val="32"/>
          <w:lang w:eastAsia="en-US"/>
        </w:rPr>
        <w:t>科普带头人</w:t>
      </w:r>
      <w:r>
        <w:rPr>
          <w:rFonts w:hint="eastAsia" w:ascii="仿宋_GB2312" w:hAnsi="Calibri" w:eastAsia="仿宋_GB2312" w:cs="仿宋"/>
          <w:kern w:val="0"/>
          <w:sz w:val="32"/>
          <w:szCs w:val="32"/>
        </w:rPr>
        <w:t>、</w:t>
      </w:r>
      <w:r>
        <w:rPr>
          <w:rFonts w:hint="eastAsia" w:ascii="仿宋_GB2312" w:hAnsi="Calibri" w:eastAsia="仿宋_GB2312" w:cs="仿宋"/>
          <w:kern w:val="0"/>
          <w:sz w:val="32"/>
          <w:szCs w:val="32"/>
          <w:lang w:eastAsia="en-US"/>
        </w:rPr>
        <w:t>农技协会员等进行培训，使其掌握相关产业的技术，</w:t>
      </w:r>
      <w:r>
        <w:rPr>
          <w:rFonts w:hint="eastAsia" w:ascii="仿宋_GB2312" w:hAnsi="Calibri" w:eastAsia="仿宋_GB2312" w:cs="仿宋"/>
          <w:kern w:val="0"/>
          <w:sz w:val="32"/>
          <w:szCs w:val="32"/>
        </w:rPr>
        <w:t>实现互利互惠、普及科技</w:t>
      </w:r>
      <w:r>
        <w:rPr>
          <w:rFonts w:hint="eastAsia" w:ascii="仿宋_GB2312" w:hAnsi="Calibri" w:eastAsia="仿宋_GB2312" w:cs="仿宋"/>
          <w:kern w:val="0"/>
          <w:sz w:val="32"/>
          <w:szCs w:val="32"/>
          <w:lang w:eastAsia="en-US"/>
        </w:rPr>
        <w:t>从而为乡村振兴作出努力</w:t>
      </w:r>
      <w:r>
        <w:rPr>
          <w:rFonts w:hint="eastAsia" w:ascii="仿宋_GB2312" w:hAnsi="Calibri" w:eastAsia="仿宋_GB2312" w:cs="仿宋"/>
          <w:kern w:val="0"/>
          <w:sz w:val="32"/>
          <w:szCs w:val="32"/>
        </w:rPr>
        <w:t>；⑹院士（专家）工作站建设及企事业科协建设项目。该项目主要用于3家州级院士（专家）工作站建设补助，开展“菁英计划”评选活动，做好人才慰问工作及支持西昌学院学生科协活动。实现了推动凉山经济社会发展现实需求，深入实施人才强州战略的目的</w:t>
      </w:r>
      <w:r>
        <w:rPr>
          <w:rFonts w:hint="eastAsia" w:ascii="仿宋_GB2312" w:hAnsi="Calibri" w:eastAsia="仿宋_GB2312" w:cs="仿宋"/>
          <w:kern w:val="0"/>
          <w:sz w:val="32"/>
          <w:szCs w:val="32"/>
          <w:lang w:val="zh-CN"/>
        </w:rPr>
        <w:t>；</w:t>
      </w:r>
      <w:r>
        <w:rPr>
          <w:rFonts w:hint="eastAsia" w:ascii="仿宋_GB2312" w:hAnsi="Calibri" w:eastAsia="仿宋_GB2312" w:cs="仿宋"/>
          <w:kern w:val="0"/>
          <w:sz w:val="32"/>
          <w:szCs w:val="32"/>
        </w:rPr>
        <w:t>⑺乡村振兴科普宣传、培训项目。该项目主要用于向农户宣传移风易俗、“四好”建设、健康文明新生活、禁毒防艾、疫情防控、森林防灭火等科普知识。通过对科普知识的宣传，培养村民良好的生活方式；⑻科学技术普及宣传示范创建项目。该项目主要用于开展全国科普日活动及其他相关科普宣传活动的委托业务费、租车费、差旅费等。以上项目完成</w:t>
      </w:r>
      <w:r>
        <w:rPr>
          <w:rFonts w:hint="eastAsia" w:ascii="仿宋_GB2312" w:hAnsi="Calibri" w:eastAsia="仿宋_GB2312" w:cs="仿宋"/>
          <w:kern w:val="0"/>
          <w:sz w:val="32"/>
          <w:szCs w:val="32"/>
          <w:lang w:val="zh-CN"/>
        </w:rPr>
        <w:t>总体情况良好，因前期项目资金使用进度缓慢，影响了资金使用效率，故自评扣分</w:t>
      </w:r>
      <w:r>
        <w:rPr>
          <w:rFonts w:hint="eastAsia" w:ascii="仿宋_GB2312" w:hAnsi="Calibri" w:eastAsia="仿宋_GB2312" w:cs="仿宋"/>
          <w:kern w:val="0"/>
          <w:sz w:val="32"/>
          <w:szCs w:val="32"/>
        </w:rPr>
        <w:t>5分；</w:t>
      </w:r>
      <w:r>
        <w:rPr>
          <w:rFonts w:hint="eastAsia" w:ascii="仿宋_GB2312" w:hAnsi="Calibri" w:eastAsia="仿宋_GB2312" w:cs="仿宋"/>
          <w:kern w:val="0"/>
          <w:sz w:val="32"/>
          <w:szCs w:val="32"/>
          <w:lang w:val="zh-CN"/>
        </w:rPr>
        <w:t>得分</w:t>
      </w:r>
      <w:r>
        <w:rPr>
          <w:rFonts w:hint="eastAsia" w:ascii="仿宋_GB2312" w:hAnsi="Calibri" w:eastAsia="仿宋_GB2312" w:cs="仿宋"/>
          <w:kern w:val="0"/>
          <w:sz w:val="32"/>
          <w:szCs w:val="32"/>
        </w:rPr>
        <w:t>95分</w:t>
      </w:r>
      <w:r>
        <w:rPr>
          <w:rFonts w:hint="eastAsia" w:ascii="仿宋_GB2312" w:hAnsi="Calibri" w:eastAsia="仿宋_GB2312" w:cs="仿宋"/>
          <w:kern w:val="0"/>
          <w:sz w:val="32"/>
          <w:szCs w:val="32"/>
          <w:lang w:val="zh-CN"/>
        </w:rPr>
        <w:t>。绩效自评报告详见附件</w:t>
      </w:r>
      <w:r>
        <w:rPr>
          <w:rFonts w:hint="eastAsia" w:ascii="仿宋_GB2312" w:hAnsi="Calibri" w:eastAsia="仿宋_GB2312" w:cs="仿宋"/>
          <w:kern w:val="0"/>
          <w:sz w:val="32"/>
          <w:szCs w:val="32"/>
        </w:rPr>
        <w:t>2-2</w:t>
      </w:r>
    </w:p>
    <w:p>
      <w:pPr>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Calibri" w:eastAsia="仿宋_GB2312" w:cs="仿宋"/>
          <w:kern w:val="0"/>
          <w:sz w:val="32"/>
          <w:szCs w:val="32"/>
        </w:rPr>
        <w:t>3.州级科普专项资金科普活动业务项目绩效自评报告自评得分97分。综述：2022年初经党组集体研究决定，项目“科普宣传活动业务”项目由青少年科技活动中心承担，给予支持项目专项资金12万元，主要用于</w:t>
      </w:r>
      <w:r>
        <w:rPr>
          <w:rFonts w:hint="eastAsia" w:ascii="仿宋_GB2312" w:hAnsi="Calibri" w:eastAsia="仿宋_GB2312" w:cs="仿宋"/>
          <w:kern w:val="0"/>
          <w:sz w:val="32"/>
          <w:szCs w:val="32"/>
          <w:lang w:val="zh-CN"/>
        </w:rPr>
        <w:t>青少年科学研学活动，根据参与对象群体特点，计划于年度暑假实施。</w:t>
      </w:r>
      <w:r>
        <w:rPr>
          <w:rFonts w:hint="eastAsia" w:ascii="仿宋_GB2312" w:hAnsi="Calibri" w:eastAsia="仿宋_GB2312" w:cs="仿宋"/>
          <w:kern w:val="0"/>
          <w:sz w:val="32"/>
          <w:szCs w:val="32"/>
        </w:rPr>
        <w:t>2022年8月，</w:t>
      </w:r>
      <w:r>
        <w:rPr>
          <w:rFonts w:hint="eastAsia" w:ascii="仿宋_GB2312" w:hAnsi="Calibri" w:eastAsia="仿宋_GB2312" w:cs="仿宋"/>
          <w:kern w:val="0"/>
          <w:sz w:val="32"/>
          <w:szCs w:val="32"/>
          <w:lang w:val="zh-CN"/>
        </w:rPr>
        <w:t>凉山州科协青少中心从第37届凉山州科创大赛的获奖选手中，挑选了33名优秀选手，赴成都开展以“探索科技，点亮梦想”为主题的科学研学活动。</w:t>
      </w:r>
      <w:r>
        <w:rPr>
          <w:rFonts w:hint="eastAsia" w:ascii="仿宋_GB2312" w:hAnsi="Calibri" w:eastAsia="仿宋_GB2312" w:cs="仿宋"/>
          <w:kern w:val="0"/>
          <w:sz w:val="32"/>
          <w:szCs w:val="32"/>
        </w:rPr>
        <w:t>项目委托第三方专业培训服务机构，</w:t>
      </w:r>
      <w:r>
        <w:rPr>
          <w:rFonts w:hint="eastAsia" w:ascii="仿宋_GB2312" w:hAnsi="Calibri" w:eastAsia="仿宋_GB2312" w:cs="仿宋"/>
          <w:kern w:val="0"/>
          <w:sz w:val="32"/>
          <w:szCs w:val="32"/>
          <w:lang w:val="zh-CN"/>
        </w:rPr>
        <w:t>参加研学学生共</w:t>
      </w:r>
      <w:r>
        <w:rPr>
          <w:rFonts w:hint="eastAsia" w:ascii="仿宋_GB2312" w:hAnsi="Calibri" w:eastAsia="仿宋_GB2312" w:cs="仿宋"/>
          <w:kern w:val="0"/>
          <w:sz w:val="32"/>
          <w:szCs w:val="32"/>
        </w:rPr>
        <w:t>33人，</w:t>
      </w:r>
      <w:r>
        <w:rPr>
          <w:rFonts w:hint="eastAsia" w:ascii="仿宋_GB2312" w:hAnsi="Calibri" w:eastAsia="仿宋_GB2312" w:cs="仿宋"/>
          <w:kern w:val="0"/>
          <w:sz w:val="32"/>
          <w:szCs w:val="32"/>
          <w:lang w:val="zh-CN"/>
        </w:rPr>
        <w:t>每人</w:t>
      </w:r>
      <w:r>
        <w:rPr>
          <w:rFonts w:hint="eastAsia" w:ascii="仿宋_GB2312" w:hAnsi="Calibri" w:eastAsia="仿宋_GB2312" w:cs="仿宋"/>
          <w:kern w:val="0"/>
          <w:sz w:val="32"/>
          <w:szCs w:val="32"/>
        </w:rPr>
        <w:t>0.</w:t>
      </w:r>
      <w:r>
        <w:rPr>
          <w:rFonts w:hint="eastAsia" w:ascii="仿宋_GB2312" w:hAnsi="Calibri" w:eastAsia="仿宋_GB2312" w:cs="仿宋"/>
          <w:kern w:val="0"/>
          <w:sz w:val="32"/>
          <w:szCs w:val="32"/>
          <w:lang w:val="zh-CN"/>
        </w:rPr>
        <w:t>42万元，含专家费、场地费、实验设备使用费、材料费、食宿费、交</w:t>
      </w:r>
      <w:r>
        <w:rPr>
          <w:rFonts w:hint="eastAsia" w:ascii="仿宋_GB2312" w:hAnsi="仿宋_GB2312" w:eastAsia="仿宋_GB2312" w:cs="仿宋_GB2312"/>
          <w:kern w:val="0"/>
          <w:sz w:val="32"/>
          <w:szCs w:val="32"/>
          <w:shd w:val="clear" w:color="auto" w:fill="FFFFFF"/>
          <w:lang w:val="zh-CN"/>
        </w:rPr>
        <w:t>通费、保险费等，计</w:t>
      </w:r>
      <w:r>
        <w:rPr>
          <w:rFonts w:hint="eastAsia" w:ascii="仿宋_GB2312" w:hAnsi="仿宋_GB2312" w:eastAsia="仿宋_GB2312" w:cs="仿宋_GB2312"/>
          <w:kern w:val="0"/>
          <w:sz w:val="32"/>
          <w:szCs w:val="32"/>
          <w:shd w:val="clear" w:color="auto" w:fill="FFFFFF"/>
        </w:rPr>
        <w:t>13.86万元</w:t>
      </w:r>
      <w:r>
        <w:rPr>
          <w:rFonts w:hint="eastAsia" w:ascii="仿宋_GB2312" w:hAnsi="仿宋_GB2312" w:eastAsia="仿宋_GB2312" w:cs="仿宋_GB2312"/>
          <w:kern w:val="0"/>
          <w:sz w:val="32"/>
          <w:szCs w:val="32"/>
          <w:shd w:val="clear" w:color="auto" w:fill="FFFFFF"/>
          <w:lang w:val="zh-CN"/>
        </w:rPr>
        <w:t>；州科协派出工作人员</w:t>
      </w:r>
      <w:r>
        <w:rPr>
          <w:rFonts w:hint="eastAsia" w:ascii="仿宋_GB2312" w:hAnsi="仿宋_GB2312" w:eastAsia="仿宋_GB2312" w:cs="仿宋_GB2312"/>
          <w:kern w:val="0"/>
          <w:sz w:val="32"/>
          <w:szCs w:val="32"/>
          <w:shd w:val="clear" w:color="auto" w:fill="FFFFFF"/>
        </w:rPr>
        <w:t>2名，全程跟踪参与研学活动，支付交通住宿差旅费等0.3688万元。合计支出14.2288万元。其中本次预算支出12万元，超出本项目预算部分在“青少年科技创新教育活动”预算项目中调剂补充了2.2288万元。</w:t>
      </w:r>
    </w:p>
    <w:p>
      <w:pPr>
        <w:adjustRightInd w:val="0"/>
        <w:snapToGrid w:val="0"/>
        <w:spacing w:line="560" w:lineRule="exact"/>
        <w:ind w:firstLine="640" w:firstLineChars="200"/>
        <w:rPr>
          <w:rFonts w:ascii="仿宋_GB2312" w:eastAsia="仿宋_GB2312"/>
          <w:b/>
          <w:color w:val="FF0000"/>
          <w:sz w:val="32"/>
          <w:szCs w:val="32"/>
        </w:rPr>
      </w:pPr>
      <w:r>
        <w:rPr>
          <w:rFonts w:hint="eastAsia" w:ascii="仿宋_GB2312" w:hAnsi="仿宋_GB2312" w:eastAsia="仿宋_GB2312" w:cs="仿宋_GB2312"/>
          <w:kern w:val="0"/>
          <w:sz w:val="32"/>
          <w:szCs w:val="32"/>
          <w:shd w:val="clear" w:color="auto" w:fill="FFFFFF"/>
          <w:lang w:val="zh-CN"/>
        </w:rPr>
        <w:t>在为期一周的研学活动中，先后组织学生们到川大、中科院成都分院、国家信息中心大数据创新创业基地等重点高校和科研院所，对数学、信息技术、航空等知识进行了探究式学习，到三星堆、川菜博物馆、同治龙窑等基地，了解悠久璀璨的中华文明，探究传统技艺与现代科技的创新融合。该活动</w:t>
      </w:r>
      <w:r>
        <w:rPr>
          <w:rFonts w:hint="eastAsia" w:ascii="方正公文仿宋" w:hAnsi="方正公文仿宋" w:eastAsia="方正公文仿宋" w:cs="方正公文仿宋"/>
          <w:sz w:val="32"/>
          <w:szCs w:val="20"/>
          <w:lang w:val="zh-CN"/>
        </w:rPr>
        <w:t>丰富了孩子们的暑假生活，助力实施“双减”行动。</w:t>
      </w:r>
      <w:r>
        <w:rPr>
          <w:rFonts w:hint="eastAsia" w:ascii="仿宋_GB2312" w:hAnsi="仿宋_GB2312" w:eastAsia="仿宋_GB2312" w:cs="仿宋_GB2312"/>
          <w:kern w:val="0"/>
          <w:sz w:val="32"/>
          <w:szCs w:val="32"/>
          <w:shd w:val="clear" w:color="auto" w:fill="FFFFFF"/>
          <w:lang w:val="zh-CN"/>
        </w:rPr>
        <w:t>对开阔青少年科学视野、激发科学兴趣以及培养创新后备人才等方面起到了积极有效的促进作用，受到学生及学校、家长的广泛赞誉。</w:t>
      </w:r>
      <w:r>
        <w:rPr>
          <w:rFonts w:hint="eastAsia" w:ascii="仿宋_GB2312" w:hAnsi="Calibri" w:eastAsia="仿宋_GB2312" w:cs="仿宋"/>
          <w:kern w:val="0"/>
          <w:sz w:val="32"/>
          <w:szCs w:val="32"/>
        </w:rPr>
        <w:t>以上项目完成</w:t>
      </w:r>
      <w:r>
        <w:rPr>
          <w:rFonts w:hint="eastAsia" w:ascii="仿宋_GB2312" w:hAnsi="Calibri" w:eastAsia="仿宋_GB2312" w:cs="仿宋"/>
          <w:kern w:val="0"/>
          <w:sz w:val="32"/>
          <w:szCs w:val="32"/>
          <w:lang w:val="zh-CN"/>
        </w:rPr>
        <w:t>总体情况良好，</w:t>
      </w:r>
      <w:r>
        <w:rPr>
          <w:rFonts w:hint="eastAsia" w:ascii="仿宋_GB2312" w:hAnsi="仿宋_GB2312" w:eastAsia="仿宋_GB2312" w:cs="仿宋_GB2312"/>
          <w:kern w:val="0"/>
          <w:sz w:val="32"/>
          <w:szCs w:val="32"/>
          <w:shd w:val="clear" w:color="auto" w:fill="FFFFFF"/>
          <w:lang w:val="zh-CN"/>
        </w:rPr>
        <w:t>但因</w:t>
      </w:r>
      <w:r>
        <w:rPr>
          <w:rFonts w:hint="eastAsia" w:ascii="仿宋_GB2312" w:hAnsi="仿宋_GB2312" w:eastAsia="仿宋_GB2312" w:cs="仿宋_GB2312"/>
          <w:sz w:val="32"/>
          <w:szCs w:val="32"/>
          <w:lang w:val="zh-CN"/>
        </w:rPr>
        <w:t>经费有限，只能组织一等奖的选手参加活动，受益面较窄；对研学课程应分学龄段设置有待优化，故自评扣分</w:t>
      </w:r>
      <w:r>
        <w:rPr>
          <w:rFonts w:hint="eastAsia" w:ascii="仿宋_GB2312" w:hAnsi="仿宋_GB2312" w:eastAsia="仿宋_GB2312" w:cs="仿宋_GB2312"/>
          <w:sz w:val="32"/>
          <w:szCs w:val="32"/>
        </w:rPr>
        <w:t>3分，得分97分。（</w:t>
      </w:r>
      <w:r>
        <w:rPr>
          <w:rFonts w:hint="eastAsia" w:ascii="仿宋_GB2312" w:hAnsi="仿宋_GB2312" w:eastAsia="仿宋_GB2312" w:cs="仿宋_GB2312"/>
          <w:sz w:val="32"/>
          <w:szCs w:val="32"/>
          <w:lang w:val="zh-CN"/>
        </w:rPr>
        <w:t>绩效自评报告详见附件</w:t>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lang w:val="zh-CN"/>
        </w:rPr>
        <w:br w:type="page"/>
      </w:r>
    </w:p>
    <w:p>
      <w:pPr>
        <w:numPr>
          <w:ilvl w:val="0"/>
          <w:numId w:val="3"/>
        </w:numPr>
        <w:spacing w:line="600" w:lineRule="exact"/>
        <w:ind w:firstLine="660" w:firstLineChars="150"/>
        <w:jc w:val="center"/>
        <w:outlineLvl w:val="0"/>
        <w:rPr>
          <w:rStyle w:val="32"/>
          <w:rFonts w:ascii="黑体" w:hAnsi="黑体" w:eastAsia="黑体"/>
          <w:b w:val="0"/>
        </w:rPr>
      </w:pPr>
      <w:bookmarkStart w:id="44" w:name="_Toc15396613"/>
      <w:bookmarkStart w:id="45" w:name="_Toc15377225"/>
      <w:r>
        <w:rPr>
          <w:rFonts w:hint="eastAsia" w:ascii="黑体" w:hAnsi="黑体" w:eastAsia="黑体"/>
          <w:sz w:val="44"/>
          <w:szCs w:val="44"/>
        </w:rPr>
        <w:t>名</w:t>
      </w:r>
      <w:r>
        <w:rPr>
          <w:rStyle w:val="32"/>
          <w:rFonts w:hint="eastAsia" w:ascii="黑体" w:hAnsi="黑体" w:eastAsia="黑体"/>
          <w:b w:val="0"/>
        </w:rPr>
        <w:t>词解释</w:t>
      </w:r>
      <w:bookmarkEnd w:id="44"/>
      <w:bookmarkEnd w:id="45"/>
    </w:p>
    <w:p>
      <w:pPr>
        <w:pStyle w:val="30"/>
        <w:spacing w:line="560" w:lineRule="exact"/>
        <w:rPr>
          <w:rFonts w:ascii="仿宋_GB2312" w:eastAsia="仿宋_GB2312"/>
          <w:sz w:val="32"/>
          <w:szCs w:val="32"/>
        </w:rPr>
      </w:pPr>
      <w:bookmarkStart w:id="46" w:name="_Toc15377226"/>
    </w:p>
    <w:p>
      <w:pPr>
        <w:pStyle w:val="30"/>
        <w:spacing w:line="56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6"/>
        <w:widowControl/>
        <w:spacing w:beforeAutospacing="0" w:afterAutospacing="0" w:line="435" w:lineRule="atLeast"/>
        <w:ind w:firstLine="640" w:firstLineChars="200"/>
        <w:rPr>
          <w:rFonts w:ascii="仿宋_GB2312" w:eastAsia="仿宋_GB2312"/>
          <w:sz w:val="32"/>
          <w:szCs w:val="32"/>
        </w:rPr>
      </w:pPr>
      <w:r>
        <w:rPr>
          <w:rFonts w:hint="eastAsia" w:ascii="仿宋_GB2312" w:eastAsia="仿宋_GB2312"/>
          <w:sz w:val="32"/>
          <w:szCs w:val="32"/>
        </w:rPr>
        <w:t>3.科学技术支出（206类）科学技术普及（07款）机构运行（01项）：反映科普事业单位基本支出，</w:t>
      </w:r>
      <w:r>
        <w:rPr>
          <w:rFonts w:hint="eastAsia" w:ascii="仿宋_GB2312" w:hAnsi="仿宋_GB2312" w:eastAsia="仿宋_GB2312" w:cs="仿宋_GB2312"/>
          <w:sz w:val="32"/>
          <w:szCs w:val="32"/>
        </w:rPr>
        <w:t>指反映本单位基本支出，包括为保障机构正常运转、完成日常工作任而发生的人员支出和公用支出。</w:t>
      </w:r>
      <w:r>
        <w:rPr>
          <w:rFonts w:hint="eastAsia" w:ascii="仿宋_GB2312" w:eastAsia="仿宋_GB2312"/>
          <w:sz w:val="32"/>
          <w:szCs w:val="32"/>
        </w:rPr>
        <w:t>包括本机构正常运行的人员支出和公用支出。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科学技术支出（206类）科学技术普及（07款）科普活动（02项）：指开展科学普及与推广。如开展科普活动月、科技活动周、科技工作者活动日，宣传疾病防治、卫生健康、禁毒防艾、崇尚科学、反邪教等科学思想理念。</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5.科学技术支出（206类）科学技术普及（07款）青少年科技活动（03项）：指为增强青少年科技创新意识，培养创新兴趣和能力，针对青少年开展的各类科技活动。如青少年科技创新大赛、高校科学营活动等。</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科学技术支出（206类）科学技术普及（07款）学术交流活动（04项）：指为科普工作者搭建科普平台，进行学术探讨、交流，不断提升自身科学素质，提高科普能力。如优秀科技论文评选、优秀科普工作者评定等工作。</w:t>
      </w:r>
    </w:p>
    <w:p>
      <w:pPr>
        <w:pStyle w:val="30"/>
        <w:spacing w:line="560" w:lineRule="exact"/>
        <w:ind w:firstLine="640" w:firstLineChars="200"/>
        <w:rPr>
          <w:rFonts w:ascii="仿宋_GB2312" w:eastAsia="仿宋_GB2312"/>
          <w:color w:val="FF0000"/>
          <w:sz w:val="32"/>
          <w:szCs w:val="32"/>
        </w:rPr>
      </w:pPr>
      <w:r>
        <w:rPr>
          <w:rFonts w:hint="eastAsia" w:ascii="仿宋_GB2312" w:eastAsia="仿宋_GB2312"/>
          <w:color w:val="auto"/>
          <w:sz w:val="32"/>
          <w:szCs w:val="32"/>
        </w:rPr>
        <w:t>7.科学技术支出（206类）科学技术普及（07款）其他科学技术普及支出（99项）：指其他多方面的科学技术普及支出。如科技、基地示范创建、举办科普培训、科普公共服务、科普资源开发、院士专家工作站等科技科普活动。</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 xml:space="preserve">8.科学技术支出（206类）其他科学技术支出（99款）其他科学技术支出（99项）：指除上述之外的各种科学技术活动。如开展老科协工作、全民科学素质纲要调查工作等。   </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w:t>
      </w:r>
      <w:r>
        <w:rPr>
          <w:rFonts w:ascii="仿宋_GB2312" w:eastAsia="仿宋_GB2312"/>
          <w:color w:val="auto"/>
          <w:sz w:val="32"/>
          <w:szCs w:val="32"/>
        </w:rPr>
        <w:t>.</w:t>
      </w:r>
      <w:r>
        <w:rPr>
          <w:rFonts w:hint="eastAsia" w:ascii="仿宋_GB2312" w:eastAsia="仿宋_GB2312"/>
          <w:color w:val="auto"/>
          <w:sz w:val="32"/>
          <w:szCs w:val="32"/>
        </w:rPr>
        <w:t>社会保障和就业支出（208类）行政事业单位离退休（05款）行政单位离退休（01项）：指行政单位离休人员离休费和退休人员统筹外交通费补贴及生活补助等。</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10.社会保障和就业支出（208类）行政事业单位离退休（05款）事业单位离退休（02项）：指事业单位退休人员生活补助等。</w:t>
      </w:r>
    </w:p>
    <w:p>
      <w:pPr>
        <w:ind w:firstLine="640" w:firstLineChars="200"/>
        <w:rPr>
          <w:rFonts w:ascii="仿宋_GB2312" w:eastAsia="仿宋_GB2312"/>
          <w:sz w:val="32"/>
          <w:szCs w:val="32"/>
        </w:rPr>
      </w:pPr>
      <w:r>
        <w:rPr>
          <w:rFonts w:hint="eastAsia" w:ascii="仿宋_GB2312" w:eastAsia="仿宋_GB2312"/>
          <w:sz w:val="32"/>
          <w:szCs w:val="32"/>
        </w:rPr>
        <w:t>11.社会保障和就业支出（208类）行政事业单位离退休（05款）机关事业单位基本养老保险缴费支出（05项）：指国家实施养老保险制度后，财政拨款单位为在职职工缴纳的基本养老保险部分。</w:t>
      </w:r>
    </w:p>
    <w:p>
      <w:pPr>
        <w:ind w:firstLine="640" w:firstLineChars="200"/>
        <w:rPr>
          <w:rFonts w:ascii="仿宋_GB2312" w:eastAsia="仿宋_GB2312"/>
          <w:sz w:val="32"/>
          <w:szCs w:val="32"/>
        </w:rPr>
      </w:pPr>
      <w:r>
        <w:rPr>
          <w:rFonts w:hint="eastAsia" w:ascii="仿宋_GB2312" w:eastAsia="仿宋_GB2312"/>
          <w:sz w:val="32"/>
          <w:szCs w:val="32"/>
        </w:rPr>
        <w:t>12.社会保障和就业支出（208类）行政事业单位离退休（05款）为机关事业单位职业年金缴费支出（06项）：为机关事业单位职工职业年金缴费支出。</w:t>
      </w:r>
    </w:p>
    <w:p>
      <w:pPr>
        <w:ind w:firstLine="640" w:firstLineChars="200"/>
        <w:rPr>
          <w:rFonts w:ascii="仿宋_GB2312" w:eastAsia="仿宋_GB2312"/>
          <w:sz w:val="32"/>
          <w:szCs w:val="32"/>
        </w:rPr>
      </w:pPr>
      <w:r>
        <w:rPr>
          <w:rFonts w:hint="eastAsia" w:ascii="仿宋_GB2312" w:eastAsia="仿宋_GB2312"/>
          <w:sz w:val="32"/>
          <w:szCs w:val="32"/>
        </w:rPr>
        <w:t>13.卫生健康支出（210类）行政事业单位医疗（11款）行政单位医疗（01项）：指本单位财政拨款安排的行政（参公）单位人员基本医疗保险缴费。</w:t>
      </w:r>
    </w:p>
    <w:p>
      <w:pPr>
        <w:pStyle w:val="16"/>
        <w:widowControl/>
        <w:spacing w:beforeAutospacing="0" w:afterAutospacing="0" w:line="435" w:lineRule="atLeast"/>
        <w:ind w:firstLine="640" w:firstLineChars="200"/>
        <w:rPr>
          <w:rFonts w:ascii="仿宋_GB2312" w:eastAsia="仿宋_GB2312"/>
          <w:sz w:val="32"/>
          <w:szCs w:val="32"/>
        </w:rPr>
      </w:pPr>
      <w:r>
        <w:rPr>
          <w:rFonts w:hint="eastAsia" w:ascii="仿宋_GB2312" w:eastAsia="仿宋_GB2312"/>
          <w:sz w:val="32"/>
          <w:szCs w:val="32"/>
        </w:rPr>
        <w:t>14.卫生健康支出（210类）行政事业单位医疗（11款）事业单位医疗02（项）：指本单位财政拨款安排的事业单位人员基本医疗保险缴费。</w:t>
      </w:r>
    </w:p>
    <w:p>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eastAsia="仿宋_GB2312"/>
          <w:sz w:val="32"/>
          <w:szCs w:val="32"/>
        </w:rPr>
        <w:t>15.卫生健康支出（210类）行政事业单位医疗（11款）公务员医疗补充（03项）：</w:t>
      </w:r>
      <w:r>
        <w:rPr>
          <w:rFonts w:hint="eastAsia" w:ascii="仿宋_GB2312" w:hAnsi="仿宋_GB2312" w:eastAsia="仿宋_GB2312" w:cs="仿宋_GB2312"/>
          <w:sz w:val="32"/>
          <w:szCs w:val="32"/>
        </w:rPr>
        <w:t>指反映本单位财政部门集中安排的公务员医疗补助经费。</w:t>
      </w:r>
    </w:p>
    <w:p>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eastAsia="仿宋_GB2312"/>
          <w:sz w:val="32"/>
          <w:szCs w:val="32"/>
        </w:rPr>
        <w:t>卫生健康支出（210类）行政事业单位医疗（11款）其他行政事业单位医疗（99项）：</w:t>
      </w:r>
      <w:r>
        <w:rPr>
          <w:rFonts w:hint="eastAsia" w:ascii="仿宋_GB2312" w:hAnsi="仿宋_GB2312" w:eastAsia="仿宋_GB2312" w:cs="仿宋_GB2312"/>
          <w:sz w:val="32"/>
          <w:szCs w:val="32"/>
        </w:rPr>
        <w:t>指反映本单位财政部门集中安排的行政事业单位除上述以外的其他用于医疗方面的保险缴费支出。如行政事业单位工伤保险、事业单位失业保险、行政事业退休人员医疗补助缴费等。</w:t>
      </w:r>
    </w:p>
    <w:p>
      <w:pPr>
        <w:pStyle w:val="16"/>
        <w:widowControl/>
        <w:spacing w:beforeAutospacing="0" w:afterAutospacing="0" w:line="43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hint="eastAsia" w:ascii="仿宋_GB2312" w:eastAsia="仿宋_GB2312"/>
          <w:sz w:val="32"/>
          <w:szCs w:val="32"/>
        </w:rPr>
        <w:t>住房保障自出（221类）住房改革支出（02款）住房公积金（01项）：</w:t>
      </w:r>
      <w:r>
        <w:rPr>
          <w:rFonts w:hint="eastAsia" w:ascii="仿宋_GB2312" w:hAnsi="仿宋_GB2312" w:eastAsia="仿宋_GB2312" w:cs="仿宋_GB2312"/>
          <w:sz w:val="32"/>
          <w:szCs w:val="32"/>
        </w:rPr>
        <w:t>指反映行政事业单位按人力资源和社会保障部、财政部规定的基本工资和津补贴以及规定比例为职工缴纳的住房公积金支出。</w:t>
      </w:r>
    </w:p>
    <w:p>
      <w:pPr>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公务用车购置及运行费和公务接待费。其中公务用车购置及运行费反映单位公务用车车辆购置支出（含车辆购置税）及燃料费、维修费、过路过桥费、保险费等支出；公务接待费反映单位按规定开支的开展国内业务活动公务接待支出。</w:t>
      </w:r>
    </w:p>
    <w:p>
      <w:pPr>
        <w:pStyle w:val="3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机关运行经费：为保障参照公务员法管理的行政单位运行用于购买货物和服务的各项资金，包括办公及印刷费、邮电费、差旅费、会议费、福利费、工会经费、日常维修（护）费、办公用房水电费、劳务费、委托业务费、公务用车运行维护费、其他交通费以及其他商品支出。</w:t>
      </w:r>
    </w:p>
    <w:p>
      <w:pPr>
        <w:spacing w:line="600" w:lineRule="exact"/>
        <w:jc w:val="center"/>
        <w:outlineLvl w:val="0"/>
        <w:rPr>
          <w:rFonts w:ascii="黑体" w:hAnsi="黑体" w:eastAsia="黑体"/>
          <w:color w:val="FF0000"/>
          <w:sz w:val="44"/>
          <w:szCs w:val="44"/>
        </w:rPr>
      </w:pPr>
    </w:p>
    <w:p>
      <w:pPr>
        <w:spacing w:line="600" w:lineRule="exact"/>
        <w:jc w:val="center"/>
        <w:outlineLvl w:val="0"/>
        <w:rPr>
          <w:rFonts w:ascii="黑体" w:hAnsi="黑体" w:eastAsia="黑体"/>
          <w:sz w:val="44"/>
          <w:szCs w:val="44"/>
        </w:rPr>
      </w:pPr>
    </w:p>
    <w:p>
      <w:pPr>
        <w:spacing w:line="600" w:lineRule="exact"/>
        <w:ind w:firstLine="3080" w:firstLineChars="700"/>
        <w:outlineLvl w:val="0"/>
        <w:rPr>
          <w:rFonts w:ascii="黑体" w:hAnsi="黑体" w:eastAsia="黑体"/>
          <w:sz w:val="44"/>
          <w:szCs w:val="44"/>
        </w:rPr>
      </w:pPr>
    </w:p>
    <w:p>
      <w:pPr>
        <w:spacing w:line="600" w:lineRule="exact"/>
        <w:ind w:firstLine="3080" w:firstLineChars="700"/>
        <w:outlineLvl w:val="0"/>
        <w:rPr>
          <w:rFonts w:ascii="黑体" w:hAnsi="黑体" w:eastAsia="黑体"/>
          <w:sz w:val="44"/>
          <w:szCs w:val="44"/>
        </w:rPr>
      </w:pPr>
    </w:p>
    <w:p>
      <w:pPr>
        <w:spacing w:line="600" w:lineRule="exact"/>
        <w:ind w:firstLine="3080" w:firstLineChars="700"/>
        <w:outlineLvl w:val="0"/>
        <w:rPr>
          <w:rFonts w:ascii="黑体" w:hAnsi="黑体" w:eastAsia="黑体"/>
          <w:sz w:val="44"/>
          <w:szCs w:val="44"/>
        </w:rPr>
      </w:pPr>
    </w:p>
    <w:p>
      <w:pPr>
        <w:spacing w:line="600" w:lineRule="exact"/>
        <w:ind w:firstLine="3080" w:firstLineChars="700"/>
        <w:outlineLvl w:val="0"/>
        <w:rPr>
          <w:rFonts w:ascii="黑体" w:hAnsi="黑体" w:eastAsia="黑体"/>
          <w:sz w:val="44"/>
          <w:szCs w:val="44"/>
        </w:rPr>
      </w:pPr>
    </w:p>
    <w:p>
      <w:pPr>
        <w:spacing w:line="600" w:lineRule="exact"/>
        <w:jc w:val="center"/>
        <w:outlineLvl w:val="0"/>
        <w:rPr>
          <w:rStyle w:val="32"/>
          <w:rFonts w:ascii="黑体" w:hAnsi="黑体" w:eastAsia="黑体"/>
          <w:b w:val="0"/>
        </w:rPr>
      </w:pPr>
      <w:r>
        <w:rPr>
          <w:rFonts w:ascii="宋体"/>
          <w:b/>
          <w:color w:val="FF0000"/>
          <w:sz w:val="44"/>
          <w:szCs w:val="44"/>
        </w:rPr>
        <w:br w:type="page"/>
      </w:r>
      <w:bookmarkStart w:id="47" w:name="_Toc15396614"/>
      <w:r>
        <w:rPr>
          <w:rFonts w:hint="eastAsia" w:ascii="黑体" w:hAnsi="黑体" w:eastAsia="黑体"/>
          <w:sz w:val="44"/>
          <w:szCs w:val="44"/>
        </w:rPr>
        <w:t>第</w:t>
      </w:r>
      <w:r>
        <w:rPr>
          <w:rStyle w:val="32"/>
          <w:rFonts w:hint="eastAsia" w:ascii="黑体" w:hAnsi="黑体" w:eastAsia="黑体"/>
          <w:b w:val="0"/>
        </w:rPr>
        <w:t>四部分 附件</w:t>
      </w:r>
      <w:bookmarkEnd w:id="47"/>
    </w:p>
    <w:p>
      <w:pPr>
        <w:spacing w:line="572" w:lineRule="exact"/>
        <w:jc w:val="left"/>
        <w:outlineLvl w:val="0"/>
        <w:rPr>
          <w:rFonts w:ascii="方正小标宋简体" w:hAnsi="方正小标宋简体" w:eastAsia="黑体" w:cs="方正小标宋简体"/>
          <w:sz w:val="44"/>
          <w:szCs w:val="44"/>
        </w:rPr>
      </w:pPr>
      <w:r>
        <w:rPr>
          <w:rFonts w:hint="eastAsia" w:ascii="黑体" w:hAnsi="黑体" w:eastAsia="黑体" w:cs="黑体"/>
          <w:sz w:val="32"/>
          <w:szCs w:val="32"/>
        </w:rPr>
        <w:t>附件1</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凉山州科学技术协会</w:t>
      </w:r>
    </w:p>
    <w:p>
      <w:pPr>
        <w:widowControl/>
        <w:spacing w:line="560" w:lineRule="exact"/>
        <w:contextualSpacing/>
        <w:jc w:val="center"/>
        <w:rPr>
          <w:rFonts w:ascii="仿宋_GB2312" w:hAnsi="仿宋_GB2312" w:eastAsia="仿宋_GB2312" w:cs="仿宋_GB2312"/>
          <w:color w:val="FF0000"/>
          <w:sz w:val="32"/>
          <w:szCs w:val="32"/>
          <w:shd w:val="clear" w:color="auto" w:fill="FFFFFF"/>
        </w:rPr>
      </w:pPr>
      <w:r>
        <w:rPr>
          <w:rFonts w:hint="eastAsia" w:ascii="宋体" w:hAnsi="宋体"/>
          <w:b/>
          <w:sz w:val="32"/>
          <w:szCs w:val="32"/>
          <w:shd w:val="clear" w:color="auto" w:fill="FFFFFF"/>
        </w:rPr>
        <w:t>2022年州级部门整体绩效评价报告</w:t>
      </w:r>
    </w:p>
    <w:p>
      <w:pPr>
        <w:widowControl/>
        <w:adjustRightInd w:val="0"/>
        <w:snapToGrid w:val="0"/>
        <w:spacing w:line="560" w:lineRule="exact"/>
        <w:ind w:firstLine="640" w:firstLineChars="200"/>
        <w:contextualSpacing/>
        <w:rPr>
          <w:rFonts w:ascii="仿宋_GB2312" w:hAnsi="宋体" w:eastAsia="仿宋_GB2312" w:cs="宋体"/>
          <w:kern w:val="0"/>
          <w:sz w:val="32"/>
          <w:szCs w:val="32"/>
          <w:shd w:val="clear" w:color="auto" w:fill="FFFFFF"/>
          <w:lang w:val="zh-CN"/>
        </w:rPr>
      </w:pPr>
    </w:p>
    <w:p>
      <w:pPr>
        <w:widowControl/>
        <w:adjustRightInd w:val="0"/>
        <w:snapToGrid w:val="0"/>
        <w:spacing w:line="560" w:lineRule="exact"/>
        <w:ind w:firstLine="640" w:firstLineChars="200"/>
        <w:contextualSpacing/>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根据《凉山州财政局关于开展2022年度州级部门预算绩效管理工作考核的通知》凉财绩效 〔2023〕1号文件的要求，凉山州科学技术协会对</w:t>
      </w:r>
      <w:r>
        <w:rPr>
          <w:rFonts w:hint="eastAsia" w:ascii="仿宋_GB2312" w:hAnsi="宋体" w:eastAsia="仿宋_GB2312" w:cs="宋体"/>
          <w:kern w:val="0"/>
          <w:sz w:val="32"/>
          <w:szCs w:val="32"/>
          <w:shd w:val="clear" w:color="auto" w:fill="FFFFFF"/>
        </w:rPr>
        <w:t>2022年</w:t>
      </w:r>
      <w:r>
        <w:rPr>
          <w:rFonts w:hint="eastAsia" w:ascii="仿宋_GB2312" w:hAnsi="宋体" w:eastAsia="仿宋_GB2312" w:cs="宋体"/>
          <w:kern w:val="0"/>
          <w:sz w:val="32"/>
          <w:szCs w:val="32"/>
          <w:shd w:val="clear" w:color="auto" w:fill="FFFFFF"/>
          <w:lang w:val="zh-CN"/>
        </w:rPr>
        <w:t>单位的整体支出绩效进行了自评，现将整体支出绩效有关情况报告如下：</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一、部门（单位）基本情况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color w:val="FF0000"/>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snapToGrid w:val="0"/>
        <w:spacing w:line="560" w:lineRule="exact"/>
        <w:ind w:firstLine="640" w:firstLineChars="200"/>
        <w:rPr>
          <w:rFonts w:ascii="仿宋_GB2312" w:hAnsi="Calibri" w:eastAsia="仿宋_GB2312" w:cs="仿宋"/>
          <w:color w:val="FF0000"/>
          <w:kern w:val="0"/>
          <w:sz w:val="32"/>
          <w:szCs w:val="32"/>
        </w:rPr>
      </w:pPr>
      <w:r>
        <w:rPr>
          <w:rFonts w:hint="eastAsia" w:ascii="仿宋_GB2312" w:hAnsi="Calibri" w:eastAsia="仿宋_GB2312" w:cs="仿宋"/>
          <w:kern w:val="0"/>
          <w:sz w:val="32"/>
          <w:szCs w:val="32"/>
        </w:rPr>
        <w:t>凉山州科学技术协会属地（市）级全额拨款独立核算单位。其中参照公务员法管理的单位1个，下属二级事业单位青少年科技活动中心1个。</w:t>
      </w:r>
    </w:p>
    <w:p>
      <w:pPr>
        <w:widowControl/>
        <w:numPr>
          <w:ilvl w:val="0"/>
          <w:numId w:val="4"/>
        </w:numPr>
        <w:adjustRightInd w:val="0"/>
        <w:snapToGrid w:val="0"/>
        <w:spacing w:line="560" w:lineRule="exact"/>
        <w:ind w:firstLine="643" w:firstLineChars="200"/>
        <w:contextualSpacing/>
        <w:jc w:val="left"/>
        <w:rPr>
          <w:rFonts w:hint="eastAsia"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机构职能和人员概况。</w:t>
      </w:r>
    </w:p>
    <w:p>
      <w:pPr>
        <w:widowControl/>
        <w:numPr>
          <w:numId w:val="0"/>
        </w:numPr>
        <w:adjustRightInd w:val="0"/>
        <w:snapToGrid w:val="0"/>
        <w:spacing w:line="560" w:lineRule="exact"/>
        <w:ind w:firstLine="643" w:firstLineChars="200"/>
        <w:contextualSpacing/>
        <w:jc w:val="left"/>
        <w:rPr>
          <w:rFonts w:ascii="仿宋_GB2312" w:hAnsi="仿宋_GB2312" w:eastAsia="仿宋_GB2312" w:cs="仿宋_GB2312"/>
          <w:color w:val="000000"/>
          <w:sz w:val="30"/>
          <w:szCs w:val="30"/>
          <w:shd w:val="clear" w:color="auto" w:fill="FFFFFF"/>
        </w:rPr>
      </w:pPr>
      <w:r>
        <w:rPr>
          <w:rFonts w:hint="eastAsia" w:ascii="楷体_GB2312" w:hAnsi="楷体_GB2312" w:eastAsia="楷体_GB2312" w:cs="楷体_GB2312"/>
          <w:b/>
          <w:bCs/>
          <w:kern w:val="0"/>
          <w:sz w:val="32"/>
          <w:szCs w:val="32"/>
          <w:shd w:val="clear" w:color="auto" w:fill="FFFFFF"/>
        </w:rPr>
        <w:t>1.</w:t>
      </w:r>
      <w:r>
        <w:rPr>
          <w:rFonts w:hint="eastAsia" w:ascii="楷体_GB2312" w:hAnsi="楷体_GB2312" w:eastAsia="楷体_GB2312" w:cs="楷体_GB2312"/>
          <w:b/>
          <w:bCs/>
          <w:kern w:val="0"/>
          <w:sz w:val="32"/>
          <w:szCs w:val="32"/>
          <w:shd w:val="clear" w:color="auto" w:fill="FFFFFF"/>
          <w:lang w:val="zh-CN"/>
        </w:rPr>
        <w:t>机构职能：</w:t>
      </w:r>
      <w:r>
        <w:rPr>
          <w:rFonts w:hint="eastAsia" w:ascii="仿宋_GB2312" w:hAnsi="仿宋_GB2312" w:eastAsia="仿宋_GB2312" w:cs="仿宋_GB2312"/>
          <w:color w:val="000000"/>
          <w:sz w:val="30"/>
          <w:szCs w:val="30"/>
          <w:shd w:val="clear" w:color="auto" w:fill="FFFFFF"/>
        </w:rPr>
        <w:t>一是开展学术交流，活跃学术思想，促进学科发展，推动决策的科学化和民主化；二是弘扬科学精神，普及科学技术知识，推广先进技术，开展青少年科技教育活动，提高全民族科学文化素质；三是维护科技工作者的合法权益，为科技团体和科技工作者服务，表彰和奖励优秀科技工作者，举荐人才。组织科技工作者参与科技政策、法规制定和政治协商、科学决策、民主监督工作。四是开展技术培训、技术咨询服务，进行咨询服务行业管理。推动科技成果向现实生产力的转化，接受委托承担项目评估，成果鉴定，专业技术职务评审等任务。五是开展国际民间科技交流活动，发展同国外的科学技术团体和科技工作者的友好交往。六是开展继续教育和培训工作，兴办符合科协综旨的社会公益性事业。七是对直属州级学会、协会、研究会进行管理，对县、市科协和基层组织进行业务指导。八是承担州委、州政府和省科协交办的其他事项。</w:t>
      </w:r>
    </w:p>
    <w:p>
      <w:pPr>
        <w:snapToGrid w:val="0"/>
        <w:spacing w:line="560" w:lineRule="exact"/>
        <w:ind w:firstLine="643" w:firstLineChars="200"/>
        <w:rPr>
          <w:rFonts w:ascii="仿宋_GB2312" w:hAnsi="Calibri" w:eastAsia="仿宋_GB2312" w:cs="仿宋"/>
          <w:kern w:val="0"/>
          <w:sz w:val="32"/>
          <w:szCs w:val="32"/>
        </w:rPr>
      </w:pPr>
      <w:r>
        <w:rPr>
          <w:rFonts w:hint="eastAsia" w:ascii="楷体_GB2312" w:hAnsi="楷体_GB2312" w:eastAsia="楷体_GB2312" w:cs="楷体_GB2312"/>
          <w:b/>
          <w:bCs/>
          <w:kern w:val="0"/>
          <w:sz w:val="32"/>
          <w:szCs w:val="32"/>
          <w:shd w:val="clear" w:color="auto" w:fill="FFFFFF"/>
        </w:rPr>
        <w:t>2.</w:t>
      </w:r>
      <w:r>
        <w:rPr>
          <w:rFonts w:hint="eastAsia" w:ascii="楷体_GB2312" w:hAnsi="楷体_GB2312" w:eastAsia="楷体_GB2312" w:cs="楷体_GB2312"/>
          <w:b/>
          <w:bCs/>
          <w:kern w:val="0"/>
          <w:sz w:val="32"/>
          <w:szCs w:val="32"/>
          <w:shd w:val="clear" w:color="auto" w:fill="FFFFFF"/>
          <w:lang w:val="zh-CN"/>
        </w:rPr>
        <w:t>人员概况：</w:t>
      </w:r>
      <w:r>
        <w:rPr>
          <w:rFonts w:hint="eastAsia" w:ascii="仿宋_GB2312" w:hAnsi="Calibri" w:eastAsia="仿宋_GB2312" w:cs="仿宋"/>
          <w:kern w:val="0"/>
          <w:sz w:val="32"/>
          <w:szCs w:val="32"/>
        </w:rPr>
        <w:t>凉山州科学技术协会经编办核定2022年末行政编制10人，行政工勤1个、事业编制6人。上年末实有行政人员8人，本年度增加调入2人，减少外调1人，故年末实有行政人员9人；上年末实有事业人员5人，本年无增减变动，故年末实有事业人员仍为5人；离休人员1人；上年末退休职工18人，本年无增减变动，故年末退休职工仍为18人。总计33人。</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Calibri" w:eastAsia="仿宋_GB2312" w:cs="仿宋"/>
          <w:kern w:val="0"/>
          <w:sz w:val="32"/>
          <w:szCs w:val="32"/>
        </w:rPr>
        <w:t xml:space="preserve"> </w:t>
      </w:r>
      <w:r>
        <w:rPr>
          <w:rFonts w:hint="eastAsia" w:ascii="楷体_GB2312" w:hAnsi="楷体_GB2312" w:eastAsia="楷体_GB2312" w:cs="楷体_GB2312"/>
          <w:sz w:val="32"/>
          <w:szCs w:val="32"/>
        </w:rPr>
        <w:t>1.全力推进天府科技云服务“保姆式”工作。</w:t>
      </w:r>
      <w:r>
        <w:rPr>
          <w:rFonts w:hint="eastAsia" w:ascii="仿宋_GB2312" w:hAnsi="仿宋_GB2312" w:eastAsia="仿宋_GB2312" w:cs="仿宋_GB2312"/>
          <w:sz w:val="32"/>
          <w:szCs w:val="32"/>
        </w:rPr>
        <w:t>坚决学习好、贯彻好、落实好中国科协、省科协指示精神，依托“天府科技云”平台上下联动，汲取首届科创会先进市（州）的经验，积极作为，将全员全程保姆式“一人一策”“一单一策”天府科技云服务，“一对一”精准服务、上门服务、宣传推广、对接服务做好、做实、做细，帮助科技工作者(团队)转化科研成果、推广高新技术，助力企业破解科技难题、获取科技服务，帮助群众便捷获取权威科普知识，为凉山高质量发展提供强有力的科技支撑，真正做到为科技供需两侧提供高质量服务。</w:t>
      </w:r>
    </w:p>
    <w:p>
      <w:pPr>
        <w:spacing w:line="560" w:lineRule="exact"/>
        <w:ind w:firstLine="640" w:firstLineChars="200"/>
        <w:jc w:val="left"/>
        <w:rPr>
          <w:rFonts w:ascii="方正公文楷体" w:hAnsi="方正公文楷体" w:eastAsia="方正公文楷体" w:cs="方正公文楷体"/>
          <w:sz w:val="32"/>
          <w:szCs w:val="32"/>
        </w:rPr>
      </w:pPr>
      <w:r>
        <w:rPr>
          <w:rFonts w:hint="eastAsia" w:ascii="楷体_GB2312" w:hAnsi="楷体_GB2312" w:eastAsia="楷体_GB2312" w:cs="楷体_GB2312"/>
          <w:sz w:val="32"/>
          <w:szCs w:val="32"/>
        </w:rPr>
        <w:t>2.大力推进提升全民科学素质的科普工作。</w:t>
      </w:r>
      <w:r>
        <w:rPr>
          <w:rFonts w:hint="eastAsia" w:ascii="仿宋_GB2312" w:hAnsi="仿宋_GB2312" w:eastAsia="仿宋_GB2312" w:cs="仿宋_GB2312"/>
          <w:sz w:val="32"/>
          <w:szCs w:val="32"/>
        </w:rPr>
        <w:t>一是抓好科技小院、示范引领科普阵地、科普惠民共享基地建设；二是继续创新开展科技馆联合行动，推动县级中小型科技馆建设；三是进一步完善科普大篷车、电子科普屏媒、乡（村）科普活动室（站）、科普宣传栏等科普设施；四是大力开发凉山特色科普资源，继续组织开展全国科普日、科技活动周、三下乡、流动科技馆巡展、大篷车进校园等各类科普活动；五是积极利用我州主流媒体，办好“科普凉山”、“科普苑”栏目和《凉山科学发展》期刊，提升科普精准推送能力。</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3.稳步推进学会创新服务能力提升工作。</w:t>
      </w:r>
      <w:r>
        <w:rPr>
          <w:rFonts w:hint="eastAsia" w:ascii="仿宋_GB2312" w:hAnsi="仿宋_GB2312" w:eastAsia="仿宋_GB2312" w:cs="仿宋_GB2312"/>
          <w:sz w:val="32"/>
          <w:szCs w:val="32"/>
        </w:rPr>
        <w:t>一是不断加强学会工作指导，密切科协与学会、学会与科技工作者之间的联系，二是推进学会能力提升、优秀论文评选、实用技术职称评（认）定、科技人才评优举荐、“菁英计划”、院士专家工作站建设等工作实施，三是开展学术论坛、年会等活动，加强学术交流，开展实用技术培训或科普专场宣传，一如既往为科技工作者搭好桥、服好务。</w:t>
      </w:r>
    </w:p>
    <w:p>
      <w:pPr>
        <w:spacing w:line="560" w:lineRule="exact"/>
        <w:ind w:firstLine="640" w:firstLineChars="200"/>
        <w:rPr>
          <w:rFonts w:ascii="仿宋_GB2312" w:hAnsi="仿宋" w:eastAsia="仿宋_GB2312" w:cs="宋体"/>
          <w:kern w:val="0"/>
          <w:sz w:val="32"/>
          <w:szCs w:val="32"/>
        </w:rPr>
      </w:pPr>
      <w:r>
        <w:rPr>
          <w:rFonts w:hint="eastAsia" w:ascii="楷体_GB2312" w:hAnsi="楷体_GB2312" w:eastAsia="楷体_GB2312" w:cs="楷体_GB2312"/>
          <w:sz w:val="32"/>
          <w:szCs w:val="32"/>
        </w:rPr>
        <w:t>4.继续推进提升科学素养的青少年创新能力培养工作。</w:t>
      </w:r>
      <w:r>
        <w:rPr>
          <w:rFonts w:hint="eastAsia" w:ascii="仿宋_GB2312" w:hAnsi="仿宋" w:eastAsia="仿宋_GB2312" w:cs="宋体"/>
          <w:kern w:val="0"/>
          <w:sz w:val="32"/>
          <w:szCs w:val="32"/>
        </w:rPr>
        <w:t>一是举办37届凉山州青少年科技创新大赛，继续打造活动品牌；二是开展2022年凉山州青少年科学研学活动，培养造就具有科学潜质和创新精神的优秀青少年；三是认真组织中小学校开展青少年科学调查体验活动、科普进校园活动，扩大青少年科技教育工作参与度和覆盖面等；四是继续做好全国青少年高校科学营活动四川分营的组织推荐工作；五是加大科技辅导员培训力度，着力提高科技辅导员能力水平。</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5.扎实推进巩固脱贫攻坚实施乡村振兴战略工作。</w:t>
      </w:r>
      <w:r>
        <w:rPr>
          <w:rFonts w:hint="eastAsia" w:ascii="仿宋_GB2312" w:hAnsi="仿宋_GB2312" w:eastAsia="仿宋_GB2312" w:cs="仿宋_GB2312"/>
          <w:sz w:val="32"/>
        </w:rPr>
        <w:t>一是继续做好迎接脱贫攻坚成果拓展暨乡村振兴有效衔接县级排查，州、省检“回头看”、省检“后评估”、国检“后评估”等相关工作。二是组织专家、学员深入田间地头对存在的问题进行技术指导与疑问解答，并</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rPr>
        <w:t>种养殖业技术培训、</w:t>
      </w:r>
      <w:r>
        <w:rPr>
          <w:rFonts w:hint="eastAsia" w:ascii="仿宋_GB2312" w:hAnsi="仿宋_GB2312" w:eastAsia="仿宋_GB2312" w:cs="仿宋_GB2312"/>
          <w:sz w:val="32"/>
          <w:szCs w:val="32"/>
        </w:rPr>
        <w:t>科技培训讲座等活动，帮助贫困群众掌握致富本领，为乡村振兴打下坚实的基础，带动乡村振兴。三是整合资源，打造产业项目，打通产品供应链。整合巴尔村现有资源，积极争取多方帮扶力量，以“公司+农户”、“集体+企业+农户”等方式，打造1-2项适合当地的产业，促进产业发展，带动当地经济。四是多方式提升劳务技术培训与输出。加强组织协调、管理与服务，组织劳动力培训，提升技能，确保劳务输出信息畅通，促进农业增收、农民增收、农村稳定。</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6.有序推进党建工作促业务能力提升。</w:t>
      </w:r>
      <w:r>
        <w:rPr>
          <w:rFonts w:hint="eastAsia" w:ascii="仿宋_GB2312" w:hAnsi="仿宋_GB2312" w:eastAsia="仿宋_GB2312" w:cs="仿宋_GB2312"/>
          <w:sz w:val="32"/>
          <w:szCs w:val="32"/>
        </w:rPr>
        <w:t>一是加强科协组织党的建设，全面推进党的政治建设、思想建设、组织建设、作风建设、纪律建设和制度建设。二是认真开展理论学习，加强政治洗礼，以党建促业务能力提升，牢固树立“四个意识”，不断坚定“四个自信”，坚决做到“两个维护”，将党史学习教育走深走实；三是认真开展社区“双报到”活动，继续为群众办实事、办好事，大力推进科协各项工作再上新台阶。</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在州委、州政府的坚强领导下，在经历了疫情和森林火灾防灭的考验下，我部门紧密团结在党的周围，主动适应积极作为，听从指挥服务大局。坚持以习近平新时代中国特色社会主义思想为指引，全面学习贯彻党十九大和十九届历次全会精神，深入贯彻落实省委十一届十次和州第九次党代会精神，以“四服务一加强”工作定位，深化 “不忘初心、牢记使命”主题活动，结合科协自身实际，团结全州科协系统暨科技工作者，围绕省科协天府科技云服务重点项目工作为中心，紧扣“以科技创新为主线、以项目建设为载体、以服务三农为导向”，按照年初计划，开展科普宣传、学术交流、青少年科技教育实践、提高全民科学素质、全力推进科普建设、科技创新，充分发挥科技资源优势，为全州各级政府决策和科研工作者服好务。同时，扎实开展党的建设、巩固脱贫攻坚成果有效衔接乡村振兴、社会服务等工作，2022年度凉山州科学技术协会顺利完成了以上各项重点工作任务。</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2022年当年总体收入877.47万元、其中基本收入435.41万元，占当年总收入总额的49.62%；项目收入442.07万元，占当年收入总额的50.38%。</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2022年当年总体支出877.47万元,其中基本支出435.41万元，占当年总支出总额的49.62%；项目支出442.07万元，占当年支出总额的50.38%。</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2022年实行财政预算管理一体化，本部门总体无结转结余情况。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2022年当年财政拨款调整预算数收入863.30万元、其中基本支出拨入421.23万元，占当年拨入总额的48.79%；项目支出拨入442.07万元，占当年拨入总额的51.21%。</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snapToGrid w:val="0"/>
        <w:spacing w:line="560" w:lineRule="exact"/>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2022年当年财政拨款调整预算数支出863.30万元，其中⑴基本支出中的工资福利支出、对个人和家庭补助支出等人员经费支出371.91万元，日常公用经费主要用于办公、水电、邮电、差旅、公务用车运行维护费等支出49.33万元，以上基本支出合计421.23万元，占当年支出总额的48.79%。基本支出与去年同期比较有所增加，主要系职工正常晋级工资、目标绩效奖、清算社保医保公积金缴费等所致。⑵项目支出442.07万元，占当年支出总额的51.21%，主要系围绕省科协重点工作天府科技云服务项目开展科学技术普及、传播、科普阵地建设、学术交流、青少年科技创新活动、科普资源开发、全民科学素质调查、开展畜牧养殖培训等项目支出，并向凉山17个县市学（协）会、企事业组织、学校、帮扶村、社区、老科协等拨付或转移支付民族科普、科普创建、打造重点学会、科普进乡村大篷车进校园、乡村振兴等科普专项工作经费。项目支出与去年同期比较增加较大，增幅58%，主要系州财政年中追拨科技计划项目资金“院士（专家）工作站”建设50万元、人才发展专项资金“菁英计划”53万元、公务用车购置费49万元、省级项目“天府科技云”服务项目10.1万元并在本年支出，这是2022年项目支出较上年增加较大的主要原因。</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2022年财政实行预算一体化管理，年末财政拨款结转结余全部收回，故本部门财政拨款无结转结余情况。</w:t>
      </w:r>
    </w:p>
    <w:p>
      <w:pPr>
        <w:pStyle w:val="9"/>
        <w:ind w:left="420" w:leftChars="200"/>
      </w:pP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color w:val="FF0000"/>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_GB2312" w:hAnsi="Calibri" w:eastAsia="仿宋_GB2312" w:cs="仿宋"/>
          <w:kern w:val="0"/>
          <w:sz w:val="32"/>
          <w:szCs w:val="32"/>
        </w:rPr>
      </w:pPr>
      <w:r>
        <w:rPr>
          <w:rFonts w:hint="eastAsia" w:ascii="仿宋_GB2312" w:hAnsi="仿宋_GB2312" w:eastAsia="仿宋_GB2312" w:cs="仿宋_GB2312"/>
          <w:kern w:val="0"/>
          <w:sz w:val="32"/>
          <w:szCs w:val="32"/>
          <w:shd w:val="clear" w:color="auto" w:fill="FFFFFF"/>
        </w:rPr>
        <w:t>我部门在年度预算编制时，严格执行国家相关政策，不漏编和超计划编制人员经费，及时清算因职工变动所发生的各项费用，预算编制科学合理；预算执行中按照政策依法依规保障职工工资及时、足额发放，无随意拖延发放职工工资、津补贴、奖金绩效等报酬事项发生，也未无故缓缴错缴职工养老、医疗、住房公积金等情况发生，确保了职工五险一金及时、足额缴纳。</w:t>
      </w:r>
      <w:r>
        <w:rPr>
          <w:rFonts w:hint="eastAsia" w:ascii="仿宋_GB2312" w:hAnsi="Calibri" w:eastAsia="仿宋_GB2312" w:cs="仿宋"/>
          <w:kern w:val="0"/>
          <w:sz w:val="32"/>
          <w:szCs w:val="32"/>
        </w:rPr>
        <w:t>年度内无乱发奖金津补贴、超范围开支、挪用挤占专项资金等违纪记录情况发生。年度用于人员类项目按照配置定额，逐人核定编制执行。年度工资福利支出、对个人和家庭补助支出等人员经费支出371.91万元；日常公用经费按照“总量控制、计划管理”的要求从严控制行政经费、厉行节约把控“三公”经费开支。年度办公、水电、邮电、差旅、招待、委托业务、其他交通、公务用车运行维护费等支出49.32万元。以上共计支出421.23万元，占当年支出总额的48.79%，预算执行率为100%，预算执行情况良好，无低效无效和资金结余等情况存在。</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我部门在年度预算编制时，按照“费随事定”的原则，编制了运转类项目青少年科技活动业务1个、经费3万元，并编报了预算绩效事前评估报告，设定了年初绩效目标任务，资金主要用于完成青少年科技活动工作等补助经费。年度执行中，按照年初计划资金用于开展青少年科学技术创新大赛、科学技术普及、教育等活动补助差旅费、委托业务费等，资金共计支付3万元，占当年支出总额的0.35%，预算执行率为100%，预算执行情况良好，无低效无效和资金结余等情况发生。</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我部门在年度预算编制阶段，</w:t>
      </w:r>
      <w:r>
        <w:rPr>
          <w:rFonts w:hint="eastAsia" w:ascii="仿宋_GB2312" w:hAnsi="仿宋_GB2312" w:eastAsia="仿宋_GB2312" w:cs="仿宋_GB2312"/>
          <w:kern w:val="0"/>
          <w:sz w:val="32"/>
          <w:szCs w:val="32"/>
          <w:shd w:val="clear" w:color="auto" w:fill="FFFFFF"/>
          <w:lang w:val="zh-CN"/>
        </w:rPr>
        <w:t>坚持</w:t>
      </w:r>
      <w:r>
        <w:rPr>
          <w:rFonts w:hint="eastAsia" w:ascii="仿宋_GB2312" w:hAnsi="仿宋_GB2312" w:eastAsia="仿宋_GB2312" w:cs="仿宋_GB2312"/>
          <w:kern w:val="0"/>
          <w:sz w:val="32"/>
          <w:szCs w:val="32"/>
          <w:shd w:val="clear" w:color="auto" w:fill="FFFFFF"/>
        </w:rPr>
        <w:t>“资金跟着项目走、项目跟着决策走”的原则</w:t>
      </w:r>
      <w:r>
        <w:rPr>
          <w:rFonts w:hint="eastAsia" w:ascii="仿宋_GB2312" w:hAnsi="仿宋_GB2312" w:eastAsia="仿宋_GB2312" w:cs="仿宋_GB2312"/>
          <w:kern w:val="0"/>
          <w:sz w:val="32"/>
          <w:szCs w:val="32"/>
          <w:shd w:val="clear" w:color="auto" w:fill="FFFFFF"/>
          <w:lang w:val="zh-CN"/>
        </w:rPr>
        <w:t>，围绕省科协天府科技云服务重点项目，</w:t>
      </w:r>
      <w:r>
        <w:rPr>
          <w:rFonts w:hint="eastAsia" w:ascii="仿宋_GB2312" w:hAnsi="仿宋_GB2312" w:eastAsia="仿宋_GB2312" w:cs="仿宋_GB2312"/>
          <w:kern w:val="0"/>
          <w:sz w:val="32"/>
          <w:szCs w:val="32"/>
          <w:shd w:val="clear" w:color="auto" w:fill="FFFFFF"/>
        </w:rPr>
        <w:t>编制了特定目标类项目10个、经调整后预算经费439.07万元，占当年支出总额的50.86%，并编报了预算绩效事前评估报告，设定了年初绩效目标任务。预算执行率为100%，预算执行情况良好，无低效无效和资金结余等情况发生。现分别说明如下：</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⑴科普宣传活动业务经费12万元：年初预算12万元，计划组织30名左右优秀青少年科学爱好者参加科学研学活动。年度执行时，在</w:t>
      </w:r>
      <w:r>
        <w:rPr>
          <w:rFonts w:hint="eastAsia" w:ascii="仿宋_GB2312" w:hAnsi="仿宋_GB2312" w:eastAsia="仿宋_GB2312" w:cs="仿宋_GB2312"/>
          <w:sz w:val="32"/>
          <w:szCs w:val="32"/>
        </w:rPr>
        <w:t>凉山州第37届科创大赛获奖选手中，挑选33名优秀选手赴成都开展以“探索科技，点亮梦想”为主题的科学研学活动，</w:t>
      </w:r>
      <w:r>
        <w:rPr>
          <w:rFonts w:hint="eastAsia" w:ascii="仿宋_GB2312" w:hAnsi="仿宋_GB2312" w:eastAsia="仿宋_GB2312" w:cs="仿宋_GB2312"/>
          <w:kern w:val="0"/>
          <w:sz w:val="32"/>
          <w:szCs w:val="32"/>
          <w:shd w:val="clear" w:color="auto" w:fill="FFFFFF"/>
        </w:rPr>
        <w:t>培养他们崇尚科学，勇于创新的爱好和能力。项目委托第三方进行专业培训，共计支出12万元、预算执行率100%，</w:t>
      </w:r>
      <w:r>
        <w:rPr>
          <w:rFonts w:hint="eastAsia" w:ascii="仿宋_GB2312" w:hAnsi="仿宋_GB2312" w:eastAsia="仿宋_GB2312" w:cs="仿宋_GB2312"/>
          <w:sz w:val="32"/>
          <w:szCs w:val="32"/>
        </w:rPr>
        <w:t>圆满完成了年度工作任</w:t>
      </w:r>
      <w:r>
        <w:rPr>
          <w:rFonts w:hint="eastAsia" w:ascii="仿宋_GB2312" w:hAnsi="仿宋_GB2312" w:eastAsia="仿宋_GB2312" w:cs="仿宋_GB2312"/>
          <w:kern w:val="0"/>
          <w:sz w:val="32"/>
          <w:szCs w:val="32"/>
          <w:shd w:val="clear" w:color="auto" w:fill="FFFFFF"/>
        </w:rPr>
        <w:t>务。</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⑵学术交流活动业务经费12万元：年初预算12万元，计划为完成省、州科协下达为科技工作者搭建学术交流和成果转化平台的任务，</w:t>
      </w:r>
      <w:r>
        <w:rPr>
          <w:rFonts w:hint="eastAsia" w:ascii="仿宋_GB2312" w:hAnsi="仿宋_GB2312" w:eastAsia="仿宋_GB2312" w:cs="仿宋_GB2312"/>
          <w:sz w:val="32"/>
          <w:szCs w:val="32"/>
        </w:rPr>
        <w:t>继续坚持“走出去”交流学习、“引进来”内化提升的工作理念。</w:t>
      </w:r>
      <w:r>
        <w:rPr>
          <w:rFonts w:hint="eastAsia" w:ascii="仿宋_GB2312" w:hAnsi="仿宋_GB2312" w:eastAsia="仿宋_GB2312" w:cs="仿宋_GB2312"/>
          <w:kern w:val="0"/>
          <w:sz w:val="32"/>
          <w:szCs w:val="32"/>
          <w:shd w:val="clear" w:color="auto" w:fill="FFFFFF"/>
        </w:rPr>
        <w:t>年度执行时，用于提高学会能力、传播科普知识，</w:t>
      </w:r>
      <w:r>
        <w:rPr>
          <w:rFonts w:hint="eastAsia" w:ascii="仿宋_GB2312" w:hAnsi="仿宋_GB2312" w:eastAsia="仿宋_GB2312" w:cs="仿宋_GB2312"/>
          <w:sz w:val="32"/>
          <w:szCs w:val="32"/>
        </w:rPr>
        <w:t>组织全州各协会、学会赴宁波市开展交流学习。通过座谈交流、学习互动，进一步深化学习院士工作站、学会服务站、海智基地等平台作用，发挥自身优势，重点打造特色品牌。</w:t>
      </w:r>
      <w:r>
        <w:rPr>
          <w:rFonts w:hint="eastAsia" w:ascii="仿宋_GB2312" w:hAnsi="仿宋_GB2312" w:eastAsia="仿宋_GB2312" w:cs="仿宋_GB2312"/>
          <w:kern w:val="0"/>
          <w:sz w:val="32"/>
          <w:szCs w:val="32"/>
          <w:shd w:val="clear" w:color="auto" w:fill="FFFFFF"/>
        </w:rPr>
        <w:t>引导科技工作者，为我州科技事业发展和高质量发展服务。项目共计支出12万元、预算执行率100%，圆满完成了年度工作任务。</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⑶凉山州全民科学素质提升专项15万元：年初预算15万元，计划年度开展科学普及、素质调查等相关工作；开展科普进机关、进乡村、进学校、进企事业、进社区“五进”活动；布置开展科普、全民科学素质提升相关工作、总结调研事宜。</w:t>
      </w:r>
      <w:r>
        <w:rPr>
          <w:rFonts w:hint="eastAsia" w:ascii="仿宋_GB2312" w:hAnsi="仿宋_GB2312" w:eastAsia="仿宋_GB2312" w:cs="仿宋_GB2312"/>
          <w:sz w:val="32"/>
          <w:szCs w:val="32"/>
        </w:rPr>
        <w:t>年度执行时，9月开展了“科普进乡村.大篷车进校园”活动，深入4个县（市）的10多个学校和社区（村）；开展科普表演、科普展示、科普讲座等丰富多彩的活动20余场次，发放宣传单5万余份，行程400余公里，参加活动师生多达10万余人；全年全州共开展科普体验活动60余场次，覆盖学校50余所，参与师生20余万人；组织各县市开展科普集市20余场，为群众提供科普咨询、发放科普宣传单、科普展览、义诊等活动，惠及群众200万余人；倡导县市科技馆、图书馆、新华书店开展“全国科普日读书行动”，送书下乡和防邪教宣传活动。通过以上活动，向群众传播科学思想，培育浓厚的科普土壤，提升公民科学素质。项目共计支出15万元、预算执行率100%，圆满完成了年度工作任</w:t>
      </w:r>
      <w:r>
        <w:rPr>
          <w:rFonts w:hint="eastAsia" w:ascii="仿宋_GB2312" w:hAnsi="仿宋_GB2312" w:eastAsia="仿宋_GB2312" w:cs="仿宋_GB2312"/>
          <w:kern w:val="0"/>
          <w:sz w:val="32"/>
          <w:szCs w:val="32"/>
          <w:shd w:val="clear" w:color="auto" w:fill="FFFFFF"/>
        </w:rPr>
        <w:t>务。</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⑷凉山州级科普专项经费189.3万元：年初预算149.3万元，计划用于围绕省科协天府科技云服务重点工作，继续深入开展学术交流，传播科学思想，普及科技知识，推广先进技术，开展青少年科技创新教育活动、院士专家工作站及企事业科协建设，提高公众科学素质等州科协亮点重点工作。年度执行中，财政追拨州级科普专项存量资金一次性返还37届凉山州青少年科技创新大赛15万元、干部能力提升培训30万元，年初预留财政返还院士专家工作站建站补助经费15万元、科普日活动5万元，共计追拨65万元。因受新冠疫情持续影响，干部能力提升培训任务无法实施，财政预算执行中期评估时上缴财政干部能力提升培训9万元、年底财政收回16万元，共计上缴财政25万元，故年度项目追加40万元，经调整预算后共计支出189.3万元，预算执行率100%。排除新冠疫情影响等因素，较圆满完成了年度以上各项工作任务。</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⑸办公设备购置费0.6万元：年初预算0.7万元，计划用于购置办公设备壁挂式空调2台。年度执行时，完成了政府采购空调2台的事宜，</w:t>
      </w:r>
      <w:r>
        <w:rPr>
          <w:rFonts w:hint="eastAsia" w:ascii="仿宋_GB2312" w:hAnsi="仿宋_GB2312" w:eastAsia="仿宋_GB2312" w:cs="仿宋_GB2312"/>
          <w:sz w:val="32"/>
          <w:szCs w:val="32"/>
        </w:rPr>
        <w:t>共计支出0.6万元、经调整后预算执行率100%，</w:t>
      </w:r>
      <w:r>
        <w:rPr>
          <w:rFonts w:hint="eastAsia" w:ascii="仿宋_GB2312" w:hAnsi="仿宋_GB2312" w:eastAsia="仿宋_GB2312" w:cs="仿宋_GB2312"/>
          <w:kern w:val="0"/>
          <w:sz w:val="32"/>
          <w:szCs w:val="32"/>
          <w:shd w:val="clear" w:color="auto" w:fill="FFFFFF"/>
        </w:rPr>
        <w:t>为新进职工提高工作效率配备了必要的办公设备。</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⑹公务用车购置费48.93万元：年初无预算，年中按照公务用车管理相关规定，经州委州政府批准、州机关事务管理局核定、凉山州财政局核拨49万元，用于购置</w:t>
      </w:r>
      <w:r>
        <w:rPr>
          <w:rFonts w:hint="eastAsia" w:ascii="仿宋_GB2312" w:hAnsi="宋体" w:eastAsia="仿宋_GB2312"/>
          <w:sz w:val="32"/>
          <w:szCs w:val="32"/>
        </w:rPr>
        <w:t>排量在3.5T内适合城乡道路的公务用车一辆。6月底通过政府采购完成了</w:t>
      </w:r>
      <w:r>
        <w:rPr>
          <w:rFonts w:hint="eastAsia" w:ascii="仿宋_GB2312" w:hAnsi="仿宋_GB2312" w:eastAsia="仿宋_GB2312" w:cs="仿宋_GB2312"/>
          <w:kern w:val="0"/>
          <w:sz w:val="32"/>
          <w:szCs w:val="32"/>
          <w:shd w:val="clear" w:color="auto" w:fill="FFFFFF"/>
        </w:rPr>
        <w:t>购置</w:t>
      </w:r>
      <w:r>
        <w:rPr>
          <w:rFonts w:hint="eastAsia" w:ascii="仿宋_GB2312" w:hAnsi="宋体" w:eastAsia="仿宋_GB2312"/>
          <w:sz w:val="32"/>
          <w:szCs w:val="32"/>
        </w:rPr>
        <w:t>红旗越野车一辆、共计支出48.93万元，</w:t>
      </w:r>
      <w:r>
        <w:rPr>
          <w:rFonts w:hint="eastAsia" w:ascii="仿宋_GB2312" w:hAnsi="仿宋_GB2312" w:eastAsia="仿宋_GB2312" w:cs="仿宋_GB2312"/>
          <w:sz w:val="32"/>
          <w:szCs w:val="32"/>
        </w:rPr>
        <w:t>经调整后预算执行率100%，</w:t>
      </w:r>
      <w:r>
        <w:rPr>
          <w:rFonts w:hint="eastAsia" w:ascii="仿宋_GB2312" w:hAnsi="仿宋_GB2312" w:eastAsia="仿宋_GB2312" w:cs="仿宋_GB2312"/>
          <w:kern w:val="0"/>
          <w:sz w:val="32"/>
          <w:szCs w:val="32"/>
          <w:shd w:val="clear" w:color="auto" w:fill="FFFFFF"/>
        </w:rPr>
        <w:t>为我部门完成各项工作任务提供了强有力的基础设施保障。</w:t>
      </w:r>
    </w:p>
    <w:p>
      <w:pPr>
        <w:pStyle w:val="9"/>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⑺省级科普专项资金46.17万元：此系财政拨入结转上年省级科普专项资金46.17万元，计划用于科普阵地建设、天府科技云项目运维费、省第二届科创会等费用。年度执行中，完成委托凉山电视台《科普凉山》彝汉双语播报35万元、委托第三方专业团队四川金互通科技公司天府科技云运维费2.27万元、成都皓特无际数码影像制作公司省第二届科创会云展厅服务费8.9万元，共计支出46.17万元，</w:t>
      </w:r>
      <w:r>
        <w:rPr>
          <w:rFonts w:hint="eastAsia" w:ascii="仿宋_GB2312" w:hAnsi="仿宋_GB2312" w:eastAsia="仿宋_GB2312" w:cs="仿宋_GB2312"/>
          <w:sz w:val="32"/>
          <w:szCs w:val="32"/>
        </w:rPr>
        <w:t>预算执行率100%，圆满完成了项目工作任务。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⑻人才发展专项53万元：年初无预算，年中财政以凉财教（2022）5号文追拨人才发展专项53万元，</w:t>
      </w:r>
      <w:r>
        <w:rPr>
          <w:rFonts w:hint="eastAsia" w:ascii="仿宋_GB2312" w:hAnsi="仿宋_GB2312" w:eastAsia="仿宋_GB2312" w:cs="仿宋_GB2312"/>
          <w:sz w:val="32"/>
          <w:szCs w:val="32"/>
        </w:rPr>
        <w:t>按照凉组通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54号《中共凉山州委组织部 中共凉山州委宣传部等12部门印发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凉山州“菁英计划”实施办法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主要用于在科学技术或工程技术领域作出重大的、创造性的成绩和贡献的科技工作者和工程技术专家，以及后补式顶岗实习生生活补助。年度执行中，经专家评审、州科协遴选上报州委组织部审批，支付凉山州农业农村局、州第二人民医院、州农科院、西昌学院、州疾控中心相关科技工作者10万元/人*5人=50万元；用于顶岗实习生活补助3万元，共计支出53万元，预算执行率100%。项目的实施加快培养了一支“凉山牌”急需紧缺高层次人才队伍，推动了凉山经济社会发展现实需求。</w:t>
      </w:r>
    </w:p>
    <w:p>
      <w:pPr>
        <w:pStyle w:val="9"/>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⑼院士（专家）工作站50万元：年初无预算，年中财政以凉财教（2022）101号文追拨院士（专家）工作站建站专项50万元，</w:t>
      </w:r>
      <w:r>
        <w:rPr>
          <w:rFonts w:hint="eastAsia" w:ascii="仿宋_GB2312" w:hAnsi="宋体" w:eastAsia="仿宋_GB2312"/>
          <w:sz w:val="30"/>
          <w:szCs w:val="30"/>
        </w:rPr>
        <w:t>按照州委组织部、州财政局、州经济和信息化局、州科技局、州科协等8个部门修订了《凉山州院士（专家）工作站实施办法》（凉组通［2021］98号）</w:t>
      </w:r>
      <w:r>
        <w:rPr>
          <w:rFonts w:hint="eastAsia" w:ascii="仿宋_GB2312" w:hAnsi="仿宋_GB2312" w:eastAsia="仿宋_GB2312" w:cs="仿宋_GB2312"/>
          <w:sz w:val="32"/>
          <w:szCs w:val="32"/>
        </w:rPr>
        <w:t>的通知</w:t>
      </w:r>
      <w:r>
        <w:rPr>
          <w:rFonts w:hint="eastAsia" w:ascii="仿宋_GB2312" w:hAnsi="宋体" w:eastAsia="仿宋_GB2312"/>
          <w:sz w:val="30"/>
          <w:szCs w:val="30"/>
        </w:rPr>
        <w:t>，</w:t>
      </w:r>
      <w:r>
        <w:rPr>
          <w:rFonts w:hint="eastAsia" w:ascii="仿宋_GB2312" w:hAnsi="仿宋_GB2312" w:eastAsia="仿宋_GB2312" w:cs="仿宋_GB2312"/>
          <w:sz w:val="32"/>
          <w:szCs w:val="32"/>
        </w:rPr>
        <w:t>主要用于进一步加强和规范我州院士（专家）工作站建设。年度执行中，经过专家评审确定了3家院士（专家）建站单位、并在州科协网站上进行了公示，拨付攀钢集团西昌钢钒有限公司、四川德乾农业开发有限公司、会东县供销社和茧丝绸产业发展有限公司三家单位为凉山州第六批院士（专家）建站单位，并给予20万元/站*3家=60万元，其中本次拨款支付50万元、州科协补助10万元。预算执行率100%，支持了我州实施人才强州服务推动高质量发展战略。</w:t>
      </w:r>
    </w:p>
    <w:p>
      <w:pPr>
        <w:pStyle w:val="9"/>
        <w:ind w:firstLine="640" w:firstLineChars="200"/>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⑽老科技工作者科普活动保障经费12万元：年初预算12万元，计划用于支持凉山州老科技工作者开展科普活动保障经费。年度执行时，拨付州老科协</w:t>
      </w:r>
      <w:r>
        <w:rPr>
          <w:rFonts w:hint="eastAsia" w:ascii="仿宋_GB2312" w:hAnsi="宋体" w:eastAsia="仿宋_GB2312"/>
          <w:sz w:val="32"/>
          <w:szCs w:val="32"/>
        </w:rPr>
        <w:t>开展各项科普活动、结合乡村振兴工作开展世界首创彩色花油菜示范种植，联手省老科协实施ESS（美国科技教育协会）资助贫困生等工作，</w:t>
      </w:r>
      <w:r>
        <w:rPr>
          <w:rFonts w:hint="eastAsia" w:ascii="仿宋_GB2312" w:hAnsi="仿宋_GB2312" w:eastAsia="仿宋_GB2312" w:cs="仿宋_GB2312"/>
          <w:sz w:val="32"/>
          <w:szCs w:val="32"/>
        </w:rPr>
        <w:t>共计支出12万元，预算执行率100%。为老科技工作者</w:t>
      </w:r>
      <w:r>
        <w:rPr>
          <w:rFonts w:hint="eastAsia" w:ascii="仿宋_GB2312" w:hAnsi="宋体" w:eastAsia="仿宋_GB2312"/>
          <w:sz w:val="32"/>
          <w:szCs w:val="32"/>
        </w:rPr>
        <w:t>利用自身积累的丰富科技知识建设凉山发挥余热提供了所需经费保障。</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pStyle w:val="39"/>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部门整体绩效目标完成情况：</w:t>
      </w:r>
      <w:r>
        <w:rPr>
          <w:rFonts w:hint="eastAsia" w:ascii="仿宋_GB2312" w:hAnsi="仿宋_GB2312" w:eastAsia="仿宋_GB2312" w:cs="仿宋_GB2312"/>
          <w:kern w:val="0"/>
          <w:sz w:val="32"/>
          <w:szCs w:val="32"/>
          <w:shd w:val="clear" w:color="auto" w:fill="FFFFFF"/>
        </w:rPr>
        <w:t>2022年度，我部门整合基本项目资金421.24万元、专用项目资金442.07万元，共计863.3万元</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在新冠疫情和森林火灾等自然灾害的考验下，我们紧密团结在党的周围，在州委州政府的坚强领导下，听从指挥服务大局，主动适应积极作为，努力推进各项工作，圆满完成了年度任务。</w:t>
      </w:r>
      <w:r>
        <w:rPr>
          <w:rFonts w:hint="eastAsia" w:ascii="仿宋_GB2312" w:hAnsi="仿宋_GB2312" w:eastAsia="仿宋_GB2312" w:cs="仿宋_GB2312"/>
          <w:b/>
          <w:bCs/>
          <w:kern w:val="0"/>
          <w:sz w:val="32"/>
          <w:szCs w:val="32"/>
          <w:shd w:val="clear" w:color="auto" w:fill="FFFFFF"/>
        </w:rPr>
        <w:t>一是</w:t>
      </w:r>
      <w:r>
        <w:rPr>
          <w:rFonts w:hint="eastAsia" w:ascii="仿宋_GB2312" w:hAnsi="仿宋_GB2312" w:eastAsia="仿宋_GB2312" w:cs="仿宋_GB2312"/>
          <w:kern w:val="0"/>
          <w:sz w:val="32"/>
          <w:szCs w:val="32"/>
          <w:shd w:val="clear" w:color="auto" w:fill="FFFFFF"/>
        </w:rPr>
        <w:t>保民生保部门基本运转方面：我部门依法依规保证了职工工资、津补贴、奖金绩效等及时、足额发放；保证了职工养老、医疗、住房公积金等五险一金及时、足额缴纳，为职工生活工作提供了必须的基础保障；及时支付办公费、差旅费、邮电费、水电费、公务用车运行维护费等行政运行费，确保部门扎实开展党的建设、巩固脱贫攻坚成果有效衔接乡村振兴、社会服务等工作正常运行。</w:t>
      </w:r>
      <w:r>
        <w:rPr>
          <w:rFonts w:hint="eastAsia" w:ascii="仿宋_GB2312" w:hAnsi="仿宋_GB2312" w:eastAsia="仿宋_GB2312" w:cs="仿宋_GB2312"/>
          <w:b/>
          <w:bCs/>
          <w:kern w:val="0"/>
          <w:sz w:val="32"/>
          <w:szCs w:val="32"/>
          <w:shd w:val="clear" w:color="auto" w:fill="FFFFFF"/>
        </w:rPr>
        <w:t>二是</w:t>
      </w:r>
      <w:r>
        <w:rPr>
          <w:rFonts w:hint="eastAsia" w:ascii="仿宋_GB2312" w:hAnsi="仿宋_GB2312" w:eastAsia="仿宋_GB2312" w:cs="仿宋_GB2312"/>
          <w:kern w:val="0"/>
          <w:sz w:val="32"/>
          <w:szCs w:val="32"/>
          <w:shd w:val="clear" w:color="auto" w:fill="FFFFFF"/>
        </w:rPr>
        <w:t>在围绕省科协天府科技云服务重点工作方面：</w:t>
      </w:r>
      <w:r>
        <w:rPr>
          <w:rFonts w:hint="eastAsia" w:ascii="仿宋_GB2312" w:hAnsi="仿宋_GB2312" w:eastAsia="仿宋_GB2312" w:cs="仿宋_GB2312"/>
          <w:sz w:val="32"/>
          <w:szCs w:val="32"/>
        </w:rPr>
        <w:t>凉山州天府科技云平台新增注册用户27206人，新增1305家企事业单位入驻天府科技云平台，帮助创建天府科技云科创工作室共计1609家，成功邀请 5 家第三方机构（金融、法律、财税机构）入驻平台，参与打造“永不落幕”的科创会，征集第二届科创会项目共计138项，推进“天府科技云服务中心”标准化建设，全州科协系统17个“天府科技云服务中心”</w:t>
      </w:r>
      <w:r>
        <w:rPr>
          <w:rFonts w:hint="eastAsia" w:ascii="仿宋_GB2312" w:hAnsi="仿宋_GB2312" w:eastAsia="仿宋_GB2312" w:cs="仿宋_GB2312"/>
          <w:color w:val="000000"/>
          <w:sz w:val="32"/>
          <w:szCs w:val="32"/>
        </w:rPr>
        <w:t>实现全覆盖</w:t>
      </w:r>
      <w:r>
        <w:rPr>
          <w:rFonts w:hint="eastAsia" w:ascii="仿宋_GB2312" w:hAnsi="仿宋_GB2312" w:eastAsia="仿宋_GB2312" w:cs="仿宋_GB2312"/>
          <w:sz w:val="32"/>
          <w:szCs w:val="32"/>
        </w:rPr>
        <w:t>投入使用，</w:t>
      </w:r>
      <w:r>
        <w:rPr>
          <w:rFonts w:hint="eastAsia" w:ascii="仿宋_GB2312" w:hAnsi="仿宋_GB2312" w:eastAsia="仿宋_GB2312" w:cs="仿宋_GB2312"/>
          <w:color w:val="000000"/>
          <w:sz w:val="32"/>
          <w:szCs w:val="32"/>
        </w:rPr>
        <w:t>开展“专职保姆”服务以来，凉山完成服务订单居全省前矛，</w:t>
      </w:r>
      <w:r>
        <w:rPr>
          <w:rFonts w:hint="eastAsia" w:ascii="仿宋_GB2312" w:hAnsi="仿宋_GB2312" w:eastAsia="仿宋_GB2312" w:cs="仿宋_GB2312"/>
          <w:sz w:val="32"/>
          <w:szCs w:val="32"/>
        </w:rPr>
        <w:t>在全州专兼职保努力下，</w:t>
      </w:r>
      <w:r>
        <w:rPr>
          <w:rFonts w:hint="eastAsia" w:ascii="仿宋_GB2312" w:hAnsi="仿宋_GB2312" w:eastAsia="仿宋_GB2312" w:cs="仿宋_GB2312"/>
          <w:color w:val="000000"/>
          <w:sz w:val="32"/>
          <w:szCs w:val="32"/>
        </w:rPr>
        <w:t>发布所能2768 单、所需 3274 单、科技成果 40 单、科研项目60单；共达成交易订单1092 笔，合计超过2亿元</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全州2361个村（社区）智慧科普传播员覆盖率已达99.62%。</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强化“四服务一加强”职能职责，建立健全凉山州科协基层组织方面:按照</w:t>
      </w:r>
      <w:r>
        <w:rPr>
          <w:rFonts w:hint="eastAsia" w:ascii="仿宋_GB2312" w:hAnsi="仿宋_GB2312" w:eastAsia="仿宋_GB2312" w:cs="仿宋_GB2312"/>
          <w:sz w:val="32"/>
          <w:szCs w:val="32"/>
        </w:rPr>
        <w:t>州科协与州委组织部联合发文《关于进一步建立健全凉山州</w:t>
      </w:r>
      <w:r>
        <w:rPr>
          <w:rFonts w:hint="eastAsia" w:ascii="仿宋_GB2312" w:hAnsi="仿宋_GB2312" w:eastAsia="仿宋_GB2312" w:cs="仿宋_GB2312"/>
          <w:color w:val="000000"/>
          <w:sz w:val="32"/>
          <w:szCs w:val="32"/>
        </w:rPr>
        <w:t>科协基层组织的通知》精神，17个县（市）304个乡镇（街道）已召开了基层科协代表大会，选举产生了基层科协委员、主席、副主席，切实提升了基层科协整体工作效能，形成了与新时代基层经济社会发展相适应的科协工作新格局。</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实施科技、科普惠民工程，全面提升大众科学素养方面：年度</w:t>
      </w:r>
      <w:r>
        <w:rPr>
          <w:rFonts w:hint="eastAsia" w:ascii="仿宋_GB2312" w:hAnsi="仿宋_GB2312" w:eastAsia="仿宋_GB2312" w:cs="仿宋_GB2312"/>
          <w:sz w:val="32"/>
          <w:szCs w:val="32"/>
        </w:rPr>
        <w:t>邀请高校专家为10所中小学生带去20场科普报告表演展示；</w:t>
      </w:r>
      <w:r>
        <w:rPr>
          <w:rFonts w:ascii="仿宋_GB2312" w:hAnsi="仿宋_GB2312" w:eastAsia="仿宋_GB2312" w:cs="仿宋_GB2312"/>
          <w:sz w:val="32"/>
          <w:szCs w:val="32"/>
        </w:rPr>
        <w:t>开展种养殖等技能技术培训</w:t>
      </w:r>
      <w:r>
        <w:rPr>
          <w:rFonts w:hint="eastAsia" w:ascii="仿宋_GB2312" w:hAnsi="仿宋_GB2312" w:eastAsia="仿宋_GB2312" w:cs="仿宋_GB2312"/>
          <w:sz w:val="32"/>
          <w:szCs w:val="32"/>
        </w:rPr>
        <w:t>40</w:t>
      </w:r>
      <w:r>
        <w:rPr>
          <w:rFonts w:ascii="仿宋_GB2312" w:hAnsi="仿宋_GB2312" w:eastAsia="仿宋_GB2312" w:cs="仿宋_GB2312"/>
          <w:sz w:val="32"/>
          <w:szCs w:val="32"/>
        </w:rPr>
        <w:t>余期，培训</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000余人</w:t>
      </w:r>
      <w:r>
        <w:rPr>
          <w:rFonts w:hint="eastAsia" w:ascii="仿宋_GB2312" w:hAnsi="仿宋_GB2312" w:eastAsia="仿宋_GB2312" w:cs="仿宋_GB2312"/>
          <w:sz w:val="32"/>
          <w:szCs w:val="32"/>
        </w:rPr>
        <w:t>；利用科普日科技周、流动科技馆、科普大篷车开展科普集市，开展科普宣传活动20余场次，发放科普宣传品共2万余份，到50余所学校开展科普体验活动60余场次；开展了“全国科普日读书行动”、完成了联手</w:t>
      </w:r>
      <w:r>
        <w:rPr>
          <w:rFonts w:hint="eastAsia" w:ascii="仿宋_GB2312" w:hAnsi="仿宋_GB2312" w:eastAsia="仿宋_GB2312" w:cs="仿宋_GB2312"/>
          <w:kern w:val="0"/>
          <w:sz w:val="32"/>
          <w:szCs w:val="32"/>
          <w:shd w:val="clear" w:color="auto" w:fill="FFFFFF"/>
        </w:rPr>
        <w:t>凉山电视台《科普凉山》</w:t>
      </w:r>
      <w:r>
        <w:rPr>
          <w:rFonts w:hint="eastAsia" w:ascii="仿宋_GB2312" w:hAnsi="仿宋_GB2312" w:eastAsia="仿宋_GB2312" w:cs="仿宋_GB2312"/>
          <w:sz w:val="32"/>
          <w:szCs w:val="32"/>
        </w:rPr>
        <w:t>采编科技致富带头、乡村振兴栏目40余期进行</w:t>
      </w:r>
      <w:r>
        <w:rPr>
          <w:rFonts w:hint="eastAsia" w:ascii="仿宋_GB2312" w:hAnsi="仿宋_GB2312" w:eastAsia="仿宋_GB2312" w:cs="仿宋_GB2312"/>
          <w:kern w:val="0"/>
          <w:sz w:val="32"/>
          <w:szCs w:val="32"/>
          <w:shd w:val="clear" w:color="auto" w:fill="FFFFFF"/>
        </w:rPr>
        <w:t>彝汉双语播报。</w:t>
      </w:r>
      <w:r>
        <w:rPr>
          <w:rFonts w:hint="eastAsia" w:ascii="仿宋_GB2312" w:hAnsi="仿宋_GB2312" w:eastAsia="仿宋_GB2312" w:cs="仿宋_GB2312"/>
          <w:sz w:val="32"/>
          <w:szCs w:val="32"/>
        </w:rPr>
        <w:t>与凉山日报社合作，深化“科普助力乡村振兴专栏”</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sz w:val="32"/>
          <w:szCs w:val="32"/>
        </w:rPr>
        <w:t>完成“科普中国”落地应用工作，建设科普中国e站11个，V视快递1个，科普APP，科普微信公众号，依托天府科技云APP采取线上科普的方式向科技人员发送科普短信科普知识；成功申报宁南、会理为2021—2025年全国科普示范县；成功申报二型科普车一辆，目前全州共有科普资源车7辆；命名创建凉山州布拖马铃薯科技小院、凉山州会理石榴科技小院、凉山州西昌苦荞麦科技小院3家2022年四川省科技小院，其中布拖马铃薯科技小院荣获四川省优秀科技小院称号。</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提升学会服务能力，加强人才交流合作</w:t>
      </w:r>
      <w:r>
        <w:rPr>
          <w:rFonts w:hint="eastAsia" w:ascii="楷体_GB2312" w:hAnsi="楷体_GB2312" w:eastAsia="楷体_GB2312" w:cs="楷体_GB2312"/>
          <w:sz w:val="32"/>
          <w:szCs w:val="32"/>
        </w:rPr>
        <w:t>方面：</w:t>
      </w:r>
      <w:r>
        <w:rPr>
          <w:rFonts w:hint="eastAsia" w:ascii="仿宋_GB2312" w:hAnsi="仿宋_GB2312" w:eastAsia="仿宋_GB2312" w:cs="仿宋_GB2312"/>
          <w:sz w:val="32"/>
          <w:szCs w:val="32"/>
        </w:rPr>
        <w:t>全年使用资金25万元共计完成5个能力提升项目；9月州科协组织协会学会赴宁波市开展交流学习，进一步深化学习院士工作站、学会服务站、海智基地等平台作用；开展完成了“菁英计划”杰出科技工作者评选工作，报经凉山州委组织部审批出5名杰出科技工作者；大力推进州院士（专家）工作站建设，评出院士工作站建站单位3家并在州科协网站公示；州科协、州委宣传部、州科技局联合开展了首届凉山州“最美科技工作者”评选活动，最终评出10名2022年凉山州“最美科技工作者”人选；开展了2022年新春走访慰问科技人才活动，对高层次人才、基层科技工作者代表进行实地走访并发放致全州广大科技工作者慰问信；积极推进科技人才评优举荐。全年共推荐参评各级各类评优评先7人，政府部门、企事业单位11家，其中，成功荣获凉山州“十三五”期间人才工作先进个人1人。为推动凉山经济高质量发展再上新台阶提供人才保证和技术支撑。</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扎实开展青少年科技教育，提高青少年科学素养方面：年度举办了第37届凉山州青少年科技创新大赛，全州共征集参赛项目作品1140项，评出获奖项目828项，评出州级“十佳”科技辅导员10名、优秀组织工作者15名、县（市）级优秀组织奖12个、基层优秀组织奖（学校）30个；州科协从第37届科创大赛获奖选手中，挑选33名优秀选手赴成都科学研学活动，前往川大、中科院成都分院、国家信息中心大数据创新创业基地、三星堆等，对数学、信息技术、航空等知识进行了探究式学习；与州教体局等部门联合启动开展2022年青少年科学调查体验活动，开展了一期专题培训，为活动实施学校配发了《节约粮食》《低碳生活》资源包180套；州科协联合州教体局等单位开展了第14届凉山州青少年科学影像节活动。征集到科学探究记录片、科学微电影、科普动画等三类作品共98项；参加了第13届四川省青少年科学影像节，共选送10部作品参赛，获一等奖3部、二等奖1部、三等奖2部；州科协与四川省青少年科技教育协会联手，在成都举办2022年青少年科学调查体验活动暨科学影像专项培训，全州16个县（市）部分中小学校的110名专兼职科技教师参加培训。来自北京、成都的14位专家名师到会进行《科学调查体验活动的教学方法建议》《科学调查活动设计与实施策略指导》《学校科技教育的实施策略》等多场专题授课讲座及案例分享，并进行了科学影像拍摄、剪辑实训实践和成果展示。</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以上各项工作的完成</w:t>
      </w:r>
      <w:r>
        <w:rPr>
          <w:rFonts w:hint="eastAsia" w:ascii="仿宋_GB2312" w:hAnsi="仿宋_GB2312" w:eastAsia="仿宋_GB2312" w:cs="仿宋_GB2312"/>
          <w:sz w:val="32"/>
          <w:szCs w:val="32"/>
        </w:rPr>
        <w:t>体现了州科协以服务社会服务人民为宗旨，实现以点带面、起到了较好的辐射作用，能够实现提高产业效能、</w:t>
      </w:r>
      <w:r>
        <w:rPr>
          <w:rFonts w:hint="eastAsia" w:ascii="仿宋_GB2312" w:hAnsi="仿宋_GB2312" w:eastAsia="仿宋_GB2312" w:cs="仿宋_GB2312"/>
          <w:sz w:val="32"/>
          <w:szCs w:val="32"/>
          <w:lang w:val="zh-CN"/>
        </w:rPr>
        <w:t>取得一定的经济效益和深远的社会等效益。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经济效益：利用天府科技云服务平台向全州共计</w:t>
      </w:r>
      <w:r>
        <w:rPr>
          <w:rFonts w:hint="eastAsia" w:ascii="仿宋_GB2312" w:hAnsi="仿宋_GB2312" w:eastAsia="仿宋_GB2312" w:cs="仿宋_GB2312"/>
          <w:color w:val="000000"/>
          <w:sz w:val="32"/>
          <w:szCs w:val="32"/>
        </w:rPr>
        <w:t>发布所能2768 单、所需 3274 单、科技成果 40 单、科研项目60单；共达成交易订单1092 笔，合计超过2亿元</w:t>
      </w:r>
      <w:r>
        <w:rPr>
          <w:rFonts w:hint="eastAsia" w:ascii="仿宋_GB2312" w:hAnsi="仿宋_GB2312" w:eastAsia="仿宋_GB2312" w:cs="仿宋_GB2312"/>
          <w:sz w:val="32"/>
          <w:szCs w:val="32"/>
        </w:rPr>
        <w:t>；通过科技小院、开展农村技术等培训、使种养植户掌握现代化经营管理知识和先进的生产技术，实现提高产业效能、</w:t>
      </w:r>
      <w:r>
        <w:rPr>
          <w:rFonts w:hint="eastAsia" w:ascii="仿宋_GB2312" w:hAnsi="仿宋_GB2312" w:eastAsia="仿宋_GB2312" w:cs="仿宋_GB2312"/>
          <w:sz w:val="32"/>
          <w:szCs w:val="32"/>
          <w:lang w:val="zh-CN"/>
        </w:rPr>
        <w:t>促成当地群众提高经济收入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指标：通过项目实施，能够实现传播科学思想，普及科技知识，推广先进技术，提高公众科学素质，引导群众逐步地向学科学、懂科学、用科学的方向迈进，为推动科技进步、促进现代化进程起到积极的推动作用，实现助力全州乡村振兴，更好为科技工作者、创新驱动发展、党和政府科学决策服务、为凉山经济社会发展服务的最终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生态</w:t>
      </w:r>
      <w:r>
        <w:rPr>
          <w:rFonts w:hint="eastAsia" w:ascii="仿宋_GB2312" w:hAnsi="仿宋_GB2312" w:eastAsia="仿宋_GB2312" w:cs="仿宋_GB2312"/>
          <w:sz w:val="32"/>
          <w:szCs w:val="32"/>
        </w:rPr>
        <w:t>效益：通过科普宣传、环保教育，让人民群众思想上扎牢青山绿水就是金山银山的理念，自觉爱护环境，共同维护我们的美好家园，公民的生活环境文化氛围得到优化提升，人文环境更浓。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持续效益指标：“天府科技云服务”实现了所需所能精准对接，为科技工作者、企事业单位、人民群众提供了更普惠、便捷、高效的科普服务，促成科技成果转化，提高人民群众的幸福感和成就感，大大改善人民群众生活质量和文明程度，营造良好的社会氛围。可持续效益是不可低估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服务对象满意度：“天府科技云服务”、学术学会交流、</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zh-CN"/>
        </w:rPr>
        <w:t>、院士专家工作站建设、青少年科技创新教育、科普惠民基地、科普宣传等一系列项目的实施，渗透各个领域，促成了科技成果转化，实现企事业单位增效提</w:t>
      </w:r>
      <w:r>
        <w:rPr>
          <w:rFonts w:hint="eastAsia" w:ascii="仿宋_GB2312" w:hAnsi="仿宋_GB2312" w:cs="仿宋_GB2312"/>
          <w:sz w:val="32"/>
          <w:szCs w:val="32"/>
          <w:lang w:val="zh-CN"/>
        </w:rPr>
        <w:t>质</w:t>
      </w:r>
      <w:r>
        <w:rPr>
          <w:rFonts w:hint="eastAsia" w:ascii="仿宋_GB2312" w:hAnsi="仿宋_GB2312" w:eastAsia="仿宋_GB2312" w:cs="仿宋_GB2312"/>
          <w:sz w:val="32"/>
          <w:szCs w:val="32"/>
          <w:lang w:val="zh-CN"/>
        </w:rPr>
        <w:t>、乡村振兴，受益群众提高经济收入，为当地经济和社会发展注入创新驱动的新动力，得到当地政府的肯定，企事业单位、人民群众的一致好评。服务对象满意度可达</w:t>
      </w:r>
      <w:r>
        <w:rPr>
          <w:rFonts w:hint="eastAsia" w:ascii="仿宋_GB2312" w:hAnsi="仿宋_GB2312" w:eastAsia="仿宋_GB2312" w:cs="仿宋_GB2312"/>
          <w:sz w:val="32"/>
          <w:szCs w:val="32"/>
        </w:rPr>
        <w:t>95%</w:t>
      </w:r>
      <w:r>
        <w:rPr>
          <w:rFonts w:hint="eastAsia" w:ascii="仿宋_GB2312" w:hAnsi="仿宋_GB2312" w:cs="仿宋_GB2312"/>
          <w:sz w:val="32"/>
          <w:szCs w:val="32"/>
        </w:rPr>
        <w:t>左右。</w:t>
      </w:r>
    </w:p>
    <w:p>
      <w:pPr>
        <w:snapToGrid w:val="0"/>
        <w:spacing w:line="560" w:lineRule="exact"/>
        <w:ind w:firstLine="640" w:firstLineChars="200"/>
        <w:rPr>
          <w:rFonts w:ascii="仿宋_GB2312" w:hAnsi="仿宋_GB2312" w:eastAsia="仿宋_GB2312" w:cs="仿宋_GB2312"/>
          <w:color w:val="00B050"/>
          <w:sz w:val="32"/>
          <w:szCs w:val="32"/>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部门履职情况：</w:t>
      </w:r>
      <w:r>
        <w:rPr>
          <w:rFonts w:hint="eastAsia" w:ascii="仿宋_GB2312" w:hAnsi="仿宋_GB2312" w:eastAsia="仿宋_GB2312" w:cs="仿宋_GB2312"/>
          <w:sz w:val="32"/>
          <w:szCs w:val="32"/>
          <w:lang w:val="zh-CN"/>
        </w:rPr>
        <w:t>为贯彻落实习近平总书记重要指示精神和党中央决策部署，</w:t>
      </w:r>
      <w:r>
        <w:rPr>
          <w:rFonts w:hint="eastAsia" w:ascii="仿宋_GB2312" w:hAnsi="仿宋_GB2312" w:eastAsia="仿宋_GB2312" w:cs="仿宋_GB2312"/>
          <w:kern w:val="0"/>
          <w:sz w:val="32"/>
          <w:szCs w:val="32"/>
          <w:shd w:val="clear" w:color="auto" w:fill="FFFFFF"/>
          <w:lang w:val="zh-CN"/>
        </w:rPr>
        <w:t>按照</w:t>
      </w:r>
      <w:r>
        <w:rPr>
          <w:rFonts w:hint="eastAsia" w:ascii="仿宋_GB2312" w:hAnsi="仿宋_GB2312" w:eastAsia="仿宋_GB2312" w:cs="仿宋_GB2312"/>
          <w:sz w:val="32"/>
          <w:szCs w:val="32"/>
          <w:lang w:val="zh-CN"/>
        </w:rPr>
        <w:t>省委省政府、州委州政府制定的发展规划和重点工作任务，</w:t>
      </w:r>
      <w:r>
        <w:rPr>
          <w:rFonts w:hint="eastAsia" w:ascii="仿宋_GB2312" w:hAnsi="仿宋_GB2312" w:eastAsia="仿宋_GB2312" w:cs="仿宋_GB2312"/>
          <w:kern w:val="0"/>
          <w:sz w:val="32"/>
          <w:szCs w:val="32"/>
          <w:shd w:val="clear" w:color="auto" w:fill="FFFFFF"/>
          <w:lang w:val="zh-CN"/>
        </w:rPr>
        <w:t>坚持</w:t>
      </w:r>
      <w:r>
        <w:rPr>
          <w:rFonts w:hint="eastAsia" w:ascii="仿宋_GB2312" w:hAnsi="仿宋_GB2312" w:eastAsia="仿宋_GB2312" w:cs="仿宋_GB2312"/>
          <w:kern w:val="0"/>
          <w:sz w:val="32"/>
          <w:szCs w:val="32"/>
          <w:shd w:val="clear" w:color="auto" w:fill="FFFFFF"/>
        </w:rPr>
        <w:t>“资金跟着项目走、项目跟着决策走”的原则，</w:t>
      </w:r>
      <w:r>
        <w:rPr>
          <w:rFonts w:hint="eastAsia" w:ascii="仿宋_GB2312" w:hAnsi="仿宋_GB2312" w:eastAsia="仿宋_GB2312" w:cs="仿宋_GB2312"/>
          <w:kern w:val="0"/>
          <w:sz w:val="32"/>
          <w:szCs w:val="32"/>
          <w:shd w:val="clear" w:color="auto" w:fill="FFFFFF"/>
          <w:lang w:val="zh-CN"/>
        </w:rPr>
        <w:t>凉山州科协</w:t>
      </w:r>
      <w:r>
        <w:rPr>
          <w:rFonts w:hint="eastAsia" w:ascii="仿宋_GB2312" w:hAnsi="宋体" w:eastAsia="仿宋_GB2312"/>
          <w:sz w:val="32"/>
          <w:szCs w:val="32"/>
        </w:rPr>
        <w:t>党组在年初</w:t>
      </w:r>
      <w:r>
        <w:rPr>
          <w:rFonts w:hint="eastAsia" w:ascii="仿宋_GB2312" w:hAnsi="仿宋_GB2312" w:eastAsia="仿宋_GB2312" w:cs="仿宋_GB2312"/>
          <w:sz w:val="32"/>
          <w:szCs w:val="32"/>
        </w:rPr>
        <w:t>进行了各项工作任务安排，制定了部门绩效目标。州科协履行职责，严格按照《预算法》编制预算，财政拨款总收支550.79万元全部编入当年年初预算，全年资金应编尽编，预算编制较准确。年中紧扣年初预算，按照工作任务安排稳步实施，能够严格执行各项财经制度，强调财务基础工作的重要性，规范收支行为，年度内无乱发奖金津补贴、超范围开支、挪用挤占专项资金等违纪记录情况发生。人员经费按照配置定额，逐人核定编制执行，公用经费按预算下达指标“总量控制、计划管理”的要求从严控制行政经费，厉行节约从严控制“三公”经费开支。专项预算管理方面，州科协是项目组织、实施和监管的主管单位。按照《四川省科普专项资金管理办法》（川财教［2020］83号），《凉山州科技计划项目专项资金管理办法》（凉财规［2020］2号），以及本部门制定的</w:t>
      </w:r>
      <w:r>
        <w:rPr>
          <w:rFonts w:hint="eastAsia" w:ascii="仿宋_GB2312" w:hAnsi="仿宋_GB2312" w:eastAsia="仿宋_GB2312" w:cs="仿宋_GB2312"/>
          <w:sz w:val="32"/>
          <w:szCs w:val="32"/>
          <w:lang w:val="zh-CN"/>
        </w:rPr>
        <w:t>相关财务</w:t>
      </w:r>
      <w:r>
        <w:rPr>
          <w:rFonts w:hint="eastAsia" w:ascii="仿宋_GB2312" w:hAnsi="仿宋_GB2312" w:eastAsia="仿宋_GB2312" w:cs="仿宋_GB2312"/>
          <w:sz w:val="32"/>
          <w:szCs w:val="32"/>
        </w:rPr>
        <w:t>管理制度等进行管理。州科协党组严管严控各项目资金，明确各项目组责任，要求在做好调研、检查等基础工作的同时，加强项目推进管理、跟进支付进度、减少存量资金的发生。项目实施中额度达到招投标，必须进入招投标和政府采购流程；项目未达到招投标限额，不属于政府采购目录，但项目涉及到评优评选等都按照规定程序经专家评审、州科协党组集体研究决定、相关部门审批，并在当地相关网站和地方公众媒体部门进行公开公示。</w:t>
      </w:r>
      <w:r>
        <w:rPr>
          <w:rFonts w:hint="eastAsia" w:ascii="仿宋_GB2312" w:hAnsi="仿宋_GB2312" w:eastAsia="仿宋_GB2312" w:cs="仿宋_GB2312"/>
          <w:sz w:val="32"/>
          <w:szCs w:val="32"/>
          <w:lang w:val="zh-CN"/>
        </w:rPr>
        <w:t>程序严谨、公开透明，保证项目资金的支用合规合法。</w:t>
      </w:r>
      <w:r>
        <w:rPr>
          <w:rFonts w:hint="eastAsia" w:ascii="仿宋_GB2312" w:hAnsi="仿宋_GB2312" w:eastAsia="仿宋_GB2312" w:cs="仿宋_GB2312"/>
          <w:sz w:val="32"/>
          <w:szCs w:val="32"/>
        </w:rPr>
        <w:t>能将盘活存量资金，提高财政资金使用效率的理念贯穿执行过程。在预算执行中期评估中，结合单位实际情况，因疫情反复发生部分不能实施的州科协系统干部能力提升培训费9万元及时上级财政；在开展绩效运行监控中，3个阶段总体能够基本达到财政要求的支付进度，尽可能的不形成沉淀资金。项目经费收支设立专账核算，专款专用，填报项目支出绩效目标能清晰反映预算资金的预期产出和效果，并以相应的绩效指标予以细化、量化描述项目。我部门对重点项目进行了追踪问效，项目总体完成情况良好，但因受疫情影响项目执行进度前期较缓慢，极个别绩效目标实际实现程度指标有点偏离预期指标。</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snapToGrid w:val="0"/>
        <w:spacing w:line="560" w:lineRule="exact"/>
        <w:ind w:firstLine="320" w:firstLineChars="1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我们结合财政指标，按照州财政局工作要求，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内部应用方面：我单位将部门绩效结果与预算挂钩，如在支持协会学会能力提升补助经费时，对资金使用效率高合规合法、账务核算规范的协会学会作为重要考核依据之一，并在州科协网站上公示后方可给予补助。二是信息公开方面：2022年度本级部门预算、决算批复、整体支出和项目支出绩效评价报告以及转移支付绩效目标表等相关表格在规定的时间内，在凉山州政府网站和州科学技术协会网站进行公开公示。三是整改反馈方面：州科协党组针对审计、财政指出的问题，进行认真思考整改，进一步强化绩效考核意识，对财政重点绩效项目评价结果中提出的问题，查漏补缺进行整改，提高绩效考核工作质量并纳入全单位工作考核目标；优化细化预算编制，重视对经济科目的编制，防止执行预算时发生较大的差异，在资金使用上确保无挪用、无占用情况发生；预算编制与实际支出项目进度上有的存在一定差异，预算资金使用的管理上有待加强，应按预算进度及时支付，完成工作，避免资金滞留账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我们在单位开展部门整体支出绩效管理工作自查自评中，内容完整、观点客观、建议举措具有一定价值，工作中能够对照财政要求、审计问题按照规章制度严格执行立即整改。</w:t>
      </w:r>
    </w:p>
    <w:p>
      <w:pPr>
        <w:widowControl/>
        <w:numPr>
          <w:ilvl w:val="0"/>
          <w:numId w:val="5"/>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我部门按照州财政局预算绩效管理工作要求积极开展自评，其观点明确客观、内容完整、资料齐全、</w:t>
      </w:r>
      <w:r>
        <w:rPr>
          <w:rFonts w:hint="eastAsia" w:ascii="仿宋_GB2312" w:hAnsi="仿宋_GB2312" w:eastAsia="仿宋_GB2312" w:cs="仿宋_GB2312"/>
          <w:sz w:val="32"/>
          <w:szCs w:val="32"/>
        </w:rPr>
        <w:t>分析较透彻、</w:t>
      </w:r>
      <w:r>
        <w:rPr>
          <w:rFonts w:hint="eastAsia" w:ascii="仿宋_GB2312" w:hAnsi="仿宋_GB2312" w:eastAsia="仿宋_GB2312" w:cs="仿宋_GB2312"/>
          <w:sz w:val="32"/>
          <w:szCs w:val="32"/>
          <w:lang w:val="zh-CN"/>
        </w:rPr>
        <w:t>报送及时、建议具有一定的价值。曾于</w:t>
      </w:r>
      <w:r>
        <w:rPr>
          <w:rFonts w:hint="eastAsia" w:ascii="仿宋_GB2312" w:hAnsi="仿宋_GB2312" w:eastAsia="仿宋_GB2312" w:cs="仿宋_GB2312"/>
          <w:sz w:val="32"/>
          <w:szCs w:val="32"/>
        </w:rPr>
        <w:t>2020年被州财政局抽为对2019年重点整体绩效评价单位之一2021年被州财政局抽为对2020年重点项目绩效评价单位之一。期间能够积极配合评价组提供相关数据及资料，及时圆满完成复评任务，并得到评价组的认可和表扬。</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我单位对照“凉山州2022年部门整体支出绩效评价指标体系”内容，对部门预算绩效管理，专项预算绩效管理、绩效结果应用、</w:t>
      </w:r>
      <w:r>
        <w:rPr>
          <w:rFonts w:hint="eastAsia" w:ascii="仿宋_GB2312" w:hAnsi="仿宋_GB2312" w:eastAsia="仿宋_GB2312" w:cs="仿宋_GB2312"/>
          <w:sz w:val="32"/>
          <w:szCs w:val="32"/>
          <w:lang w:val="zh-CN"/>
        </w:rPr>
        <w:t>自评质量情况四</w:t>
      </w:r>
      <w:r>
        <w:rPr>
          <w:rFonts w:hint="eastAsia" w:ascii="仿宋_GB2312" w:hAnsi="仿宋_GB2312" w:eastAsia="仿宋_GB2312" w:cs="仿宋_GB2312"/>
          <w:sz w:val="32"/>
          <w:szCs w:val="32"/>
        </w:rPr>
        <w:t>个方面中的各细项进行自评打分，总体扣分6分，得分94分。</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预算编制有待优化，经济科目在预算编制和实际支出决算上存在一定的差异，体现了编制仍不够准</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。预算拨付滞后，部分专项资金财政下拨晚。在执行预算中，资金支付前期较缓慢，预算资金使用的管理上有待加强，应按预算进度推进工作及时支付资金，避免资金滞留账上。</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进一步强化绩效考核意识，加强预算资金绩效监控和中期评估工作，将绩效考核工作纳入部门工作目标；二是优化预算编制，缩小经济科目在预算编制和实际支出的差异；三是完善资金拨付流程，及时支付项目资金，减少资金滞留账上，提高使用效率。四是强调项目跟踪监测，对无效、低效的项目资金及时上缴财政，盘活存量资金。</w:t>
      </w:r>
    </w:p>
    <w:p>
      <w:pPr>
        <w:widowControl/>
        <w:adjustRightInd w:val="0"/>
        <w:snapToGrid w:val="0"/>
        <w:spacing w:line="560"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建议:绩效管理工作是一项政策性综合业务性极强的工作，不是财务部门写算能够落实完成的。希望财政部门能够协调具体措施落实单位各部门共同完成此项工作，使此项工作能够达到设计高层预期的目标。</w:t>
      </w:r>
    </w:p>
    <w:p>
      <w:pPr>
        <w:pStyle w:val="17"/>
        <w:spacing w:line="560" w:lineRule="exact"/>
        <w:ind w:left="0" w:leftChars="0" w:firstLine="640"/>
        <w:rPr>
          <w:rFonts w:hAnsi="仿宋_GB2312" w:eastAsia="仿宋_GB2312" w:cs="仿宋_GB2312"/>
          <w:color w:val="FF0000"/>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pStyle w:val="17"/>
        <w:spacing w:line="560" w:lineRule="exact"/>
        <w:ind w:left="0" w:leftChars="0" w:firstLine="0" w:firstLineChars="0"/>
        <w:rPr>
          <w:sz w:val="32"/>
          <w:lang w:val="zh-CN"/>
        </w:rPr>
      </w:pPr>
    </w:p>
    <w:p>
      <w:pPr>
        <w:pStyle w:val="17"/>
        <w:spacing w:line="560" w:lineRule="exact"/>
        <w:ind w:left="0" w:leftChars="0" w:firstLine="0" w:firstLineChars="0"/>
        <w:rPr>
          <w:sz w:val="32"/>
          <w:lang w:val="zh-CN"/>
        </w:rPr>
      </w:pPr>
    </w:p>
    <w:p>
      <w:pPr>
        <w:pStyle w:val="6"/>
        <w:spacing w:before="93"/>
        <w:rPr>
          <w:rFonts w:hAnsi="宋体" w:cs="宋体"/>
          <w:sz w:val="32"/>
          <w:szCs w:val="32"/>
          <w:shd w:val="clear" w:color="auto" w:fill="FFFFFF"/>
          <w:lang w:val="zh-CN"/>
        </w:rPr>
      </w:pPr>
    </w:p>
    <w:tbl>
      <w:tblPr>
        <w:tblStyle w:val="18"/>
        <w:tblW w:w="11038" w:type="dxa"/>
        <w:tblInd w:w="-632" w:type="dxa"/>
        <w:tblLayout w:type="fixed"/>
        <w:tblCellMar>
          <w:top w:w="0" w:type="dxa"/>
          <w:left w:w="108" w:type="dxa"/>
          <w:bottom w:w="0" w:type="dxa"/>
          <w:right w:w="108" w:type="dxa"/>
        </w:tblCellMar>
      </w:tblPr>
      <w:tblGrid>
        <w:gridCol w:w="1050"/>
        <w:gridCol w:w="1137"/>
        <w:gridCol w:w="701"/>
        <w:gridCol w:w="2218"/>
        <w:gridCol w:w="594"/>
        <w:gridCol w:w="594"/>
        <w:gridCol w:w="693"/>
        <w:gridCol w:w="788"/>
        <w:gridCol w:w="62"/>
        <w:gridCol w:w="600"/>
        <w:gridCol w:w="20"/>
        <w:gridCol w:w="501"/>
        <w:gridCol w:w="20"/>
        <w:gridCol w:w="1196"/>
        <w:gridCol w:w="864"/>
      </w:tblGrid>
      <w:tr>
        <w:tblPrEx>
          <w:tblCellMar>
            <w:top w:w="0" w:type="dxa"/>
            <w:left w:w="108" w:type="dxa"/>
            <w:bottom w:w="0" w:type="dxa"/>
            <w:right w:w="108" w:type="dxa"/>
          </w:tblCellMar>
        </w:tblPrEx>
        <w:trPr>
          <w:gridAfter w:val="1"/>
          <w:wAfter w:w="864" w:type="dxa"/>
          <w:trHeight w:val="556"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464"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51340021R000000033292-州本级单位缴费</w:t>
            </w:r>
          </w:p>
        </w:tc>
      </w:tr>
      <w:tr>
        <w:tblPrEx>
          <w:tblCellMar>
            <w:top w:w="0" w:type="dxa"/>
            <w:left w:w="108" w:type="dxa"/>
            <w:bottom w:w="0" w:type="dxa"/>
            <w:right w:w="108" w:type="dxa"/>
          </w:tblCellMar>
        </w:tblPrEx>
        <w:trPr>
          <w:gridAfter w:val="1"/>
          <w:wAfter w:w="864" w:type="dxa"/>
          <w:trHeight w:val="496"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凉山州科学技术协会部门</w:t>
            </w:r>
          </w:p>
        </w:tc>
        <w:tc>
          <w:tcPr>
            <w:tcW w:w="788" w:type="dxa"/>
            <w:tcBorders>
              <w:top w:val="nil"/>
              <w:left w:val="nil"/>
              <w:bottom w:val="nil"/>
              <w:right w:val="nil"/>
            </w:tcBorders>
            <w:vAlign w:val="center"/>
          </w:tcPr>
          <w:p>
            <w:pPr>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286"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严格执行相关政策，保障工资及时、足额发放或社保及时、足额缴纳，预算编制科学合理，减少结余资金。</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spacing w:line="0" w:lineRule="atLeast"/>
              <w:rPr>
                <w:sz w:val="18"/>
                <w:szCs w:val="18"/>
              </w:rPr>
            </w:pPr>
            <w:r>
              <w:rPr>
                <w:rFonts w:hint="eastAsia"/>
                <w:sz w:val="18"/>
                <w:szCs w:val="18"/>
              </w:rPr>
              <w:t>严格执行相关政策，年度内完成了足额缴纳职工五险一金，预算编制科学合理，及时清算调出调进等情况，减少结余资金。</w:t>
            </w:r>
          </w:p>
        </w:tc>
      </w:tr>
      <w:tr>
        <w:tblPrEx>
          <w:tblCellMar>
            <w:top w:w="0" w:type="dxa"/>
            <w:left w:w="108" w:type="dxa"/>
            <w:bottom w:w="0" w:type="dxa"/>
            <w:right w:w="108" w:type="dxa"/>
          </w:tblCellMar>
        </w:tblPrEx>
        <w:trPr>
          <w:gridAfter w:val="1"/>
          <w:wAfter w:w="864" w:type="dxa"/>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中按照政策依法依规确保职工五险一金及时清算调出调进等情况并足额全部缴纳。年度内不存在无故缓缴错缴职工养老、医疗、住房公积金等情况发生，也无超范围缴交等违纪记录情况发生。年度用于人员类项目按照配置定额，逐人核定编制执行。</w:t>
            </w:r>
          </w:p>
        </w:tc>
      </w:tr>
      <w:tr>
        <w:tblPrEx>
          <w:tblCellMar>
            <w:top w:w="0" w:type="dxa"/>
            <w:left w:w="108" w:type="dxa"/>
            <w:bottom w:w="0" w:type="dxa"/>
            <w:right w:w="108" w:type="dxa"/>
          </w:tblCellMar>
        </w:tblPrEx>
        <w:trPr>
          <w:gridAfter w:val="1"/>
          <w:wAfter w:w="864" w:type="dxa"/>
          <w:trHeight w:val="54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48.98</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70.21</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70.21</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按照相关政策调整基数增加、逐人核定编制执行清算调出调进增加。</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48.98</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70.21</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70.21</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发放（缴纳）覆盖率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足额保障率（参保率）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无</w:t>
            </w: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预算执行中按照政策依法依规确保职工五险一金及时清算调出调进等情况并足额全部缴纳。年度用于人员类项目按照配置定额，逐人核定编制执行。年度内不存在无故缓缴错缴职工养老、医疗、住房公积金等情况发生，也无超范围缴交等违纪记录情况发生。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3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 xml:space="preserve">无 </w:t>
            </w:r>
          </w:p>
        </w:tc>
      </w:tr>
      <w:tr>
        <w:tblPrEx>
          <w:tblCellMar>
            <w:top w:w="0" w:type="dxa"/>
            <w:left w:w="108" w:type="dxa"/>
            <w:bottom w:w="0" w:type="dxa"/>
            <w:right w:w="108" w:type="dxa"/>
          </w:tblCellMar>
        </w:tblPrEx>
        <w:trPr>
          <w:gridAfter w:val="1"/>
          <w:wAfter w:w="864" w:type="dxa"/>
          <w:trHeight w:val="30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440" w:hRule="atLeast"/>
        </w:trPr>
        <w:tc>
          <w:tcPr>
            <w:tcW w:w="1050" w:type="dxa"/>
            <w:tcBorders>
              <w:top w:val="nil"/>
              <w:left w:val="nil"/>
              <w:bottom w:val="nil"/>
              <w:right w:val="nil"/>
            </w:tcBorders>
            <w:vAlign w:val="center"/>
          </w:tcPr>
          <w:p>
            <w:pPr>
              <w:rPr>
                <w:sz w:val="15"/>
                <w:szCs w:val="15"/>
              </w:rPr>
            </w:pPr>
          </w:p>
          <w:p>
            <w:pPr>
              <w:rPr>
                <w:sz w:val="15"/>
                <w:szCs w:val="15"/>
              </w:rPr>
            </w:pPr>
          </w:p>
          <w:p>
            <w:pPr>
              <w:rPr>
                <w:sz w:val="15"/>
                <w:szCs w:val="15"/>
              </w:rPr>
            </w:pPr>
          </w:p>
        </w:tc>
        <w:tc>
          <w:tcPr>
            <w:tcW w:w="1137" w:type="dxa"/>
            <w:tcBorders>
              <w:top w:val="nil"/>
              <w:left w:val="nil"/>
              <w:bottom w:val="nil"/>
              <w:right w:val="nil"/>
            </w:tcBorders>
            <w:vAlign w:val="center"/>
          </w:tcPr>
          <w:p>
            <w:pPr>
              <w:rPr>
                <w:sz w:val="15"/>
                <w:szCs w:val="15"/>
              </w:rPr>
            </w:pPr>
          </w:p>
        </w:tc>
        <w:tc>
          <w:tcPr>
            <w:tcW w:w="701" w:type="dxa"/>
            <w:tcBorders>
              <w:top w:val="nil"/>
              <w:left w:val="nil"/>
              <w:bottom w:val="nil"/>
              <w:right w:val="nil"/>
            </w:tcBorders>
            <w:vAlign w:val="center"/>
          </w:tcPr>
          <w:p>
            <w:pPr>
              <w:rPr>
                <w:sz w:val="15"/>
                <w:szCs w:val="15"/>
              </w:rPr>
            </w:pPr>
          </w:p>
        </w:tc>
        <w:tc>
          <w:tcPr>
            <w:tcW w:w="2218"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693" w:type="dxa"/>
            <w:tcBorders>
              <w:top w:val="nil"/>
              <w:left w:val="nil"/>
              <w:bottom w:val="nil"/>
              <w:right w:val="nil"/>
            </w:tcBorders>
            <w:vAlign w:val="center"/>
          </w:tcPr>
          <w:p>
            <w:pPr>
              <w:rPr>
                <w:sz w:val="15"/>
                <w:szCs w:val="15"/>
              </w:rPr>
            </w:pPr>
          </w:p>
        </w:tc>
        <w:tc>
          <w:tcPr>
            <w:tcW w:w="788" w:type="dxa"/>
            <w:tcBorders>
              <w:top w:val="nil"/>
              <w:left w:val="nil"/>
              <w:bottom w:val="nil"/>
              <w:right w:val="nil"/>
            </w:tcBorders>
            <w:vAlign w:val="center"/>
          </w:tcPr>
          <w:p>
            <w:pPr>
              <w:rPr>
                <w:sz w:val="15"/>
                <w:szCs w:val="15"/>
              </w:rPr>
            </w:pPr>
          </w:p>
        </w:tc>
        <w:tc>
          <w:tcPr>
            <w:tcW w:w="662" w:type="dxa"/>
            <w:gridSpan w:val="2"/>
            <w:tcBorders>
              <w:top w:val="nil"/>
              <w:left w:val="nil"/>
              <w:bottom w:val="nil"/>
              <w:right w:val="nil"/>
            </w:tcBorders>
            <w:vAlign w:val="center"/>
          </w:tcPr>
          <w:p>
            <w:pPr>
              <w:rPr>
                <w:sz w:val="15"/>
                <w:szCs w:val="15"/>
              </w:rPr>
            </w:pPr>
          </w:p>
        </w:tc>
        <w:tc>
          <w:tcPr>
            <w:tcW w:w="521" w:type="dxa"/>
            <w:gridSpan w:val="2"/>
            <w:tcBorders>
              <w:top w:val="nil"/>
              <w:left w:val="nil"/>
              <w:bottom w:val="nil"/>
              <w:right w:val="nil"/>
            </w:tcBorders>
            <w:vAlign w:val="center"/>
          </w:tcPr>
          <w:p>
            <w:pPr>
              <w:rPr>
                <w:sz w:val="15"/>
                <w:szCs w:val="15"/>
              </w:rPr>
            </w:pPr>
          </w:p>
        </w:tc>
        <w:tc>
          <w:tcPr>
            <w:tcW w:w="1216" w:type="dxa"/>
            <w:gridSpan w:val="2"/>
            <w:tcBorders>
              <w:top w:val="nil"/>
              <w:left w:val="nil"/>
              <w:bottom w:val="nil"/>
              <w:right w:val="nil"/>
            </w:tcBorders>
            <w:vAlign w:val="center"/>
          </w:tcPr>
          <w:p>
            <w:pPr>
              <w:rPr>
                <w:sz w:val="15"/>
                <w:szCs w:val="15"/>
              </w:rPr>
            </w:pPr>
          </w:p>
        </w:tc>
      </w:tr>
      <w:tr>
        <w:tblPrEx>
          <w:tblCellMar>
            <w:top w:w="0" w:type="dxa"/>
            <w:left w:w="108" w:type="dxa"/>
            <w:bottom w:w="0" w:type="dxa"/>
            <w:right w:w="108" w:type="dxa"/>
          </w:tblCellMar>
        </w:tblPrEx>
        <w:trPr>
          <w:gridAfter w:val="1"/>
          <w:wAfter w:w="864" w:type="dxa"/>
          <w:trHeight w:val="572"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b/>
                <w:bCs/>
                <w:szCs w:val="21"/>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515"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51340021R000000033787-州本级离退休医疗缴费</w:t>
            </w:r>
          </w:p>
        </w:tc>
      </w:tr>
      <w:tr>
        <w:tblPrEx>
          <w:tblCellMar>
            <w:top w:w="0" w:type="dxa"/>
            <w:left w:w="108" w:type="dxa"/>
            <w:bottom w:w="0" w:type="dxa"/>
            <w:right w:w="108" w:type="dxa"/>
          </w:tblCellMar>
        </w:tblPrEx>
        <w:trPr>
          <w:gridAfter w:val="1"/>
          <w:wAfter w:w="864" w:type="dxa"/>
          <w:trHeight w:val="484"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凉山州科学技术协会部门</w:t>
            </w:r>
          </w:p>
        </w:tc>
        <w:tc>
          <w:tcPr>
            <w:tcW w:w="788" w:type="dxa"/>
            <w:tcBorders>
              <w:top w:val="nil"/>
              <w:left w:val="nil"/>
              <w:bottom w:val="nil"/>
              <w:right w:val="nil"/>
            </w:tcBorders>
            <w:vAlign w:val="center"/>
          </w:tcPr>
          <w:p>
            <w:pPr>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286"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严格执行相关政策，保障离退休医疗缴费及时、足额缴纳，预算编制科学合理，减少结余资金。</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严格执行相关政策，年度内完成了离退休医疗缴费及时、足额缴纳，预算编制科学合理，减少结余资金。</w:t>
            </w:r>
          </w:p>
        </w:tc>
      </w:tr>
      <w:tr>
        <w:tblPrEx>
          <w:tblCellMar>
            <w:top w:w="0" w:type="dxa"/>
            <w:left w:w="108" w:type="dxa"/>
            <w:bottom w:w="0" w:type="dxa"/>
            <w:right w:w="108" w:type="dxa"/>
          </w:tblCellMar>
        </w:tblPrEx>
        <w:trPr>
          <w:gridAfter w:val="1"/>
          <w:wAfter w:w="864" w:type="dxa"/>
          <w:trHeight w:val="693"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保障离退休医疗缴费及时、足额缴纳，预算编制科学合理，减少结余资金。年度用于人员类项目按照配置定额，逐人核定编制执行。年度内不存在无故缓缴错缴离退休医疗缴费情况发生，也无超范围缴交等违纪记录情况发生。</w:t>
            </w:r>
          </w:p>
        </w:tc>
      </w:tr>
      <w:tr>
        <w:tblPrEx>
          <w:tblCellMar>
            <w:top w:w="0" w:type="dxa"/>
            <w:left w:w="108" w:type="dxa"/>
            <w:bottom w:w="0" w:type="dxa"/>
            <w:right w:w="108" w:type="dxa"/>
          </w:tblCellMar>
        </w:tblPrEx>
        <w:trPr>
          <w:gridAfter w:val="1"/>
          <w:wAfter w:w="864" w:type="dxa"/>
          <w:trHeight w:val="44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5.59</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5.88</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5.88</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按照相关政策调整基数增加。</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5.59</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5.88</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5.88</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发放（缴纳）覆盖率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足额保障率（参保率）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无</w:t>
            </w:r>
          </w:p>
        </w:tc>
      </w:tr>
      <w:tr>
        <w:tblPrEx>
          <w:tblCellMar>
            <w:top w:w="0" w:type="dxa"/>
            <w:left w:w="108" w:type="dxa"/>
            <w:bottom w:w="0" w:type="dxa"/>
            <w:right w:w="108" w:type="dxa"/>
          </w:tblCellMar>
        </w:tblPrEx>
        <w:trPr>
          <w:gridAfter w:val="1"/>
          <w:wAfter w:w="864" w:type="dxa"/>
          <w:trHeight w:val="60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保障离退休医疗缴费及时、足额缴纳，预算编制科学合理，减少结余资金。年度用于人员类项目按照配置定额，逐人核定编制执行。年度内不存在无故缓缴错缴离退休医疗缴费情况发生，也无超范围缴交等违纪记录情况发生。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64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6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8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1000" w:hRule="atLeast"/>
        </w:trPr>
        <w:tc>
          <w:tcPr>
            <w:tcW w:w="1050" w:type="dxa"/>
            <w:tcBorders>
              <w:top w:val="nil"/>
              <w:left w:val="nil"/>
              <w:bottom w:val="nil"/>
              <w:right w:val="nil"/>
            </w:tcBorders>
            <w:vAlign w:val="center"/>
          </w:tcPr>
          <w:p>
            <w:pPr>
              <w:rPr>
                <w:sz w:val="15"/>
                <w:szCs w:val="15"/>
              </w:rPr>
            </w:pPr>
          </w:p>
        </w:tc>
        <w:tc>
          <w:tcPr>
            <w:tcW w:w="1137" w:type="dxa"/>
            <w:tcBorders>
              <w:top w:val="nil"/>
              <w:left w:val="nil"/>
              <w:bottom w:val="nil"/>
              <w:right w:val="nil"/>
            </w:tcBorders>
            <w:vAlign w:val="center"/>
          </w:tcPr>
          <w:p>
            <w:pPr>
              <w:rPr>
                <w:sz w:val="15"/>
                <w:szCs w:val="15"/>
              </w:rPr>
            </w:pPr>
          </w:p>
        </w:tc>
        <w:tc>
          <w:tcPr>
            <w:tcW w:w="701" w:type="dxa"/>
            <w:tcBorders>
              <w:top w:val="nil"/>
              <w:left w:val="nil"/>
              <w:bottom w:val="nil"/>
              <w:right w:val="nil"/>
            </w:tcBorders>
            <w:vAlign w:val="center"/>
          </w:tcPr>
          <w:p>
            <w:pPr>
              <w:rPr>
                <w:sz w:val="15"/>
                <w:szCs w:val="15"/>
              </w:rPr>
            </w:pPr>
          </w:p>
        </w:tc>
        <w:tc>
          <w:tcPr>
            <w:tcW w:w="2218"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693" w:type="dxa"/>
            <w:tcBorders>
              <w:top w:val="nil"/>
              <w:left w:val="nil"/>
              <w:bottom w:val="nil"/>
              <w:right w:val="nil"/>
            </w:tcBorders>
            <w:vAlign w:val="center"/>
          </w:tcPr>
          <w:p>
            <w:pPr>
              <w:rPr>
                <w:sz w:val="15"/>
                <w:szCs w:val="15"/>
              </w:rPr>
            </w:pPr>
          </w:p>
        </w:tc>
        <w:tc>
          <w:tcPr>
            <w:tcW w:w="788" w:type="dxa"/>
            <w:tcBorders>
              <w:top w:val="nil"/>
              <w:left w:val="nil"/>
              <w:bottom w:val="nil"/>
              <w:right w:val="nil"/>
            </w:tcBorders>
            <w:vAlign w:val="center"/>
          </w:tcPr>
          <w:p>
            <w:pPr>
              <w:rPr>
                <w:sz w:val="15"/>
                <w:szCs w:val="15"/>
              </w:rPr>
            </w:pPr>
          </w:p>
        </w:tc>
        <w:tc>
          <w:tcPr>
            <w:tcW w:w="662" w:type="dxa"/>
            <w:gridSpan w:val="2"/>
            <w:tcBorders>
              <w:top w:val="nil"/>
              <w:left w:val="nil"/>
              <w:bottom w:val="nil"/>
              <w:right w:val="nil"/>
            </w:tcBorders>
            <w:vAlign w:val="center"/>
          </w:tcPr>
          <w:p>
            <w:pPr>
              <w:rPr>
                <w:sz w:val="15"/>
                <w:szCs w:val="15"/>
              </w:rPr>
            </w:pPr>
          </w:p>
        </w:tc>
        <w:tc>
          <w:tcPr>
            <w:tcW w:w="521" w:type="dxa"/>
            <w:gridSpan w:val="2"/>
            <w:tcBorders>
              <w:top w:val="nil"/>
              <w:left w:val="nil"/>
              <w:bottom w:val="nil"/>
              <w:right w:val="nil"/>
            </w:tcBorders>
            <w:vAlign w:val="center"/>
          </w:tcPr>
          <w:p>
            <w:pPr>
              <w:rPr>
                <w:sz w:val="15"/>
                <w:szCs w:val="15"/>
              </w:rPr>
            </w:pPr>
          </w:p>
        </w:tc>
        <w:tc>
          <w:tcPr>
            <w:tcW w:w="1216" w:type="dxa"/>
            <w:gridSpan w:val="2"/>
            <w:tcBorders>
              <w:top w:val="nil"/>
              <w:left w:val="nil"/>
              <w:bottom w:val="nil"/>
              <w:right w:val="nil"/>
            </w:tcBorders>
            <w:vAlign w:val="center"/>
          </w:tcPr>
          <w:p>
            <w:pPr>
              <w:rPr>
                <w:sz w:val="15"/>
                <w:szCs w:val="15"/>
              </w:rPr>
            </w:pPr>
          </w:p>
        </w:tc>
      </w:tr>
      <w:tr>
        <w:tblPrEx>
          <w:tblCellMar>
            <w:top w:w="0" w:type="dxa"/>
            <w:left w:w="108" w:type="dxa"/>
            <w:bottom w:w="0" w:type="dxa"/>
            <w:right w:w="108" w:type="dxa"/>
          </w:tblCellMar>
        </w:tblPrEx>
        <w:trPr>
          <w:gridAfter w:val="1"/>
          <w:wAfter w:w="864" w:type="dxa"/>
          <w:trHeight w:val="618"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286"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51340021R000000033799-州本级离退休费支出</w:t>
            </w:r>
          </w:p>
        </w:tc>
      </w:tr>
      <w:tr>
        <w:tblPrEx>
          <w:tblCellMar>
            <w:top w:w="0" w:type="dxa"/>
            <w:left w:w="108" w:type="dxa"/>
            <w:bottom w:w="0" w:type="dxa"/>
            <w:right w:w="108" w:type="dxa"/>
          </w:tblCellMar>
        </w:tblPrEx>
        <w:trPr>
          <w:gridAfter w:val="1"/>
          <w:wAfter w:w="864" w:type="dxa"/>
          <w:trHeight w:val="512"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凉山州科学技术协会部门</w:t>
            </w:r>
          </w:p>
        </w:tc>
        <w:tc>
          <w:tcPr>
            <w:tcW w:w="788" w:type="dxa"/>
            <w:tcBorders>
              <w:top w:val="nil"/>
              <w:left w:val="nil"/>
              <w:bottom w:val="nil"/>
              <w:right w:val="nil"/>
            </w:tcBorders>
            <w:vAlign w:val="center"/>
          </w:tcPr>
          <w:p>
            <w:pPr>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286"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70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严格执行相关政策，保障离退休费及时、足额发放。预算编制科学合理，减少结余资金。</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严格执行相关政策，年度内完成了离退休费及时、足额发放。预算编制科学合理，减少结余资金。</w:t>
            </w:r>
          </w:p>
        </w:tc>
      </w:tr>
      <w:tr>
        <w:tblPrEx>
          <w:tblCellMar>
            <w:top w:w="0" w:type="dxa"/>
            <w:left w:w="108" w:type="dxa"/>
            <w:bottom w:w="0" w:type="dxa"/>
            <w:right w:w="108" w:type="dxa"/>
          </w:tblCellMar>
        </w:tblPrEx>
        <w:trPr>
          <w:gridAfter w:val="1"/>
          <w:wAfter w:w="864" w:type="dxa"/>
          <w:trHeight w:val="693"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保障离退休费及时、足额发放。预算编制科学合理，减少结余资金。年度用于人员类项目按照配置定额，逐人核定编制执行。年度内不存在无故拖延发放离退休费情况发生，也无超范围支付离退休费等违纪记录情况发生。</w:t>
            </w:r>
          </w:p>
        </w:tc>
      </w:tr>
      <w:tr>
        <w:tblPrEx>
          <w:tblCellMar>
            <w:top w:w="0" w:type="dxa"/>
            <w:left w:w="108" w:type="dxa"/>
            <w:bottom w:w="0" w:type="dxa"/>
            <w:right w:w="108" w:type="dxa"/>
          </w:tblCellMar>
        </w:tblPrEx>
        <w:trPr>
          <w:gridAfter w:val="1"/>
          <w:wAfter w:w="864" w:type="dxa"/>
          <w:trHeight w:val="44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15.84</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26.62</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26.62</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按照相关政策逐人核定编制执行，调整增加离退休费。</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15.84</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26.62</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26.62</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发放（缴纳）覆盖率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足额保障率（参保率）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无</w:t>
            </w: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保障离退休费及时、足额发放。预算编制科学合理，减少结余资金。年度用于人员类项目按照配置定额，逐人核定编制执行。年度内不存在无故拖延发放离退休费情况发生，也无超范围支付离退休费等违纪记录情况发生。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6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54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940" w:hRule="atLeast"/>
        </w:trPr>
        <w:tc>
          <w:tcPr>
            <w:tcW w:w="1050" w:type="dxa"/>
            <w:tcBorders>
              <w:top w:val="nil"/>
              <w:left w:val="nil"/>
              <w:bottom w:val="nil"/>
              <w:right w:val="nil"/>
            </w:tcBorders>
            <w:vAlign w:val="center"/>
          </w:tcPr>
          <w:p>
            <w:pPr>
              <w:rPr>
                <w:sz w:val="15"/>
                <w:szCs w:val="15"/>
              </w:rPr>
            </w:pPr>
          </w:p>
        </w:tc>
        <w:tc>
          <w:tcPr>
            <w:tcW w:w="1137" w:type="dxa"/>
            <w:tcBorders>
              <w:top w:val="nil"/>
              <w:left w:val="nil"/>
              <w:bottom w:val="nil"/>
              <w:right w:val="nil"/>
            </w:tcBorders>
            <w:vAlign w:val="center"/>
          </w:tcPr>
          <w:p>
            <w:pPr>
              <w:rPr>
                <w:sz w:val="15"/>
                <w:szCs w:val="15"/>
              </w:rPr>
            </w:pPr>
          </w:p>
          <w:p>
            <w:pPr>
              <w:rPr>
                <w:sz w:val="15"/>
                <w:szCs w:val="15"/>
              </w:rPr>
            </w:pPr>
          </w:p>
          <w:p>
            <w:pPr>
              <w:rPr>
                <w:sz w:val="15"/>
                <w:szCs w:val="15"/>
              </w:rPr>
            </w:pPr>
          </w:p>
        </w:tc>
        <w:tc>
          <w:tcPr>
            <w:tcW w:w="701" w:type="dxa"/>
            <w:tcBorders>
              <w:top w:val="nil"/>
              <w:left w:val="nil"/>
              <w:bottom w:val="nil"/>
              <w:right w:val="nil"/>
            </w:tcBorders>
            <w:vAlign w:val="center"/>
          </w:tcPr>
          <w:p>
            <w:pPr>
              <w:rPr>
                <w:sz w:val="15"/>
                <w:szCs w:val="15"/>
              </w:rPr>
            </w:pPr>
          </w:p>
        </w:tc>
        <w:tc>
          <w:tcPr>
            <w:tcW w:w="2218"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693" w:type="dxa"/>
            <w:tcBorders>
              <w:top w:val="nil"/>
              <w:left w:val="nil"/>
              <w:bottom w:val="nil"/>
              <w:right w:val="nil"/>
            </w:tcBorders>
            <w:vAlign w:val="center"/>
          </w:tcPr>
          <w:p>
            <w:pPr>
              <w:rPr>
                <w:sz w:val="15"/>
                <w:szCs w:val="15"/>
              </w:rPr>
            </w:pPr>
          </w:p>
        </w:tc>
        <w:tc>
          <w:tcPr>
            <w:tcW w:w="788" w:type="dxa"/>
            <w:tcBorders>
              <w:top w:val="nil"/>
              <w:left w:val="nil"/>
              <w:bottom w:val="nil"/>
              <w:right w:val="nil"/>
            </w:tcBorders>
            <w:vAlign w:val="center"/>
          </w:tcPr>
          <w:p>
            <w:pPr>
              <w:rPr>
                <w:sz w:val="15"/>
                <w:szCs w:val="15"/>
              </w:rPr>
            </w:pPr>
          </w:p>
        </w:tc>
        <w:tc>
          <w:tcPr>
            <w:tcW w:w="662" w:type="dxa"/>
            <w:gridSpan w:val="2"/>
            <w:tcBorders>
              <w:top w:val="nil"/>
              <w:left w:val="nil"/>
              <w:bottom w:val="nil"/>
              <w:right w:val="nil"/>
            </w:tcBorders>
            <w:vAlign w:val="center"/>
          </w:tcPr>
          <w:p>
            <w:pPr>
              <w:rPr>
                <w:sz w:val="15"/>
                <w:szCs w:val="15"/>
              </w:rPr>
            </w:pPr>
          </w:p>
        </w:tc>
        <w:tc>
          <w:tcPr>
            <w:tcW w:w="521" w:type="dxa"/>
            <w:gridSpan w:val="2"/>
            <w:tcBorders>
              <w:top w:val="nil"/>
              <w:left w:val="nil"/>
              <w:bottom w:val="nil"/>
              <w:right w:val="nil"/>
            </w:tcBorders>
            <w:vAlign w:val="center"/>
          </w:tcPr>
          <w:p>
            <w:pPr>
              <w:rPr>
                <w:sz w:val="15"/>
                <w:szCs w:val="15"/>
              </w:rPr>
            </w:pPr>
          </w:p>
        </w:tc>
        <w:tc>
          <w:tcPr>
            <w:tcW w:w="1216" w:type="dxa"/>
            <w:gridSpan w:val="2"/>
            <w:tcBorders>
              <w:top w:val="nil"/>
              <w:left w:val="nil"/>
              <w:bottom w:val="nil"/>
              <w:right w:val="nil"/>
            </w:tcBorders>
            <w:vAlign w:val="center"/>
          </w:tcPr>
          <w:p>
            <w:pPr>
              <w:rPr>
                <w:sz w:val="15"/>
                <w:szCs w:val="15"/>
              </w:rPr>
            </w:pPr>
          </w:p>
        </w:tc>
      </w:tr>
      <w:tr>
        <w:tblPrEx>
          <w:tblCellMar>
            <w:top w:w="0" w:type="dxa"/>
            <w:left w:w="108" w:type="dxa"/>
            <w:bottom w:w="0" w:type="dxa"/>
            <w:right w:w="108" w:type="dxa"/>
          </w:tblCellMar>
        </w:tblPrEx>
        <w:trPr>
          <w:gridAfter w:val="1"/>
          <w:wAfter w:w="864" w:type="dxa"/>
          <w:trHeight w:val="584"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286"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51340021R000000041105-州本级工资支出</w:t>
            </w:r>
          </w:p>
        </w:tc>
      </w:tr>
      <w:tr>
        <w:tblPrEx>
          <w:tblCellMar>
            <w:top w:w="0" w:type="dxa"/>
            <w:left w:w="108" w:type="dxa"/>
            <w:bottom w:w="0" w:type="dxa"/>
            <w:right w:w="108" w:type="dxa"/>
          </w:tblCellMar>
        </w:tblPrEx>
        <w:trPr>
          <w:gridAfter w:val="1"/>
          <w:wAfter w:w="864" w:type="dxa"/>
          <w:trHeight w:val="512"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凉山州科学技术协会部门</w:t>
            </w:r>
          </w:p>
        </w:tc>
        <w:tc>
          <w:tcPr>
            <w:tcW w:w="788" w:type="dxa"/>
            <w:tcBorders>
              <w:top w:val="nil"/>
              <w:left w:val="nil"/>
              <w:bottom w:val="nil"/>
              <w:right w:val="nil"/>
            </w:tcBorders>
            <w:vAlign w:val="center"/>
          </w:tcPr>
          <w:p>
            <w:pPr>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32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74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严格执行相关政策，年度用于人员类项目按照配置定额，逐人核定编制执行。保障职工工资及时、足额发放。预算编制科学合理，减少结余资金。</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严格执行相关政策，用于人员类项目按照配置定额，逐人核定编制执行。年度内完成了保障职工工资及时、足额发放。预算编制科学合理，减少结余资金。</w:t>
            </w:r>
          </w:p>
        </w:tc>
      </w:tr>
      <w:tr>
        <w:tblPrEx>
          <w:tblCellMar>
            <w:top w:w="0" w:type="dxa"/>
            <w:left w:w="108" w:type="dxa"/>
            <w:bottom w:w="0" w:type="dxa"/>
            <w:right w:w="108" w:type="dxa"/>
          </w:tblCellMar>
        </w:tblPrEx>
        <w:trPr>
          <w:gridAfter w:val="1"/>
          <w:wAfter w:w="864" w:type="dxa"/>
          <w:trHeight w:val="56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w:t>
            </w:r>
          </w:p>
        </w:tc>
      </w:tr>
      <w:tr>
        <w:tblPrEx>
          <w:tblCellMar>
            <w:top w:w="0" w:type="dxa"/>
            <w:left w:w="108" w:type="dxa"/>
            <w:bottom w:w="0" w:type="dxa"/>
            <w:right w:w="108" w:type="dxa"/>
          </w:tblCellMar>
        </w:tblPrEx>
        <w:trPr>
          <w:gridAfter w:val="1"/>
          <w:wAfter w:w="864" w:type="dxa"/>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42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105.50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121.99</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121.99</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按照相关政策调整职工晋级工资增加、逐人核定编制执行清算调出调进增加。</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105.50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121.99</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121.99</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发放（缴纳）覆盖率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足额保障率（参保率）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无</w:t>
            </w: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保障职工工作及时、足额缴纳。预算编制科学合理，减少结余资金。年度用于人员类项目按照配置定额，逐人核定编制执行。年度内不存在无故拖延、错发、误发职工工资发等情况发生，也无超范围发放职工工资等违纪记录情况发生。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3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48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900" w:hRule="atLeast"/>
        </w:trPr>
        <w:tc>
          <w:tcPr>
            <w:tcW w:w="1050" w:type="dxa"/>
            <w:tcBorders>
              <w:top w:val="nil"/>
              <w:left w:val="nil"/>
              <w:bottom w:val="nil"/>
              <w:right w:val="nil"/>
            </w:tcBorders>
            <w:vAlign w:val="center"/>
          </w:tcPr>
          <w:p>
            <w:pPr>
              <w:rPr>
                <w:sz w:val="15"/>
                <w:szCs w:val="15"/>
              </w:rPr>
            </w:pPr>
          </w:p>
        </w:tc>
        <w:tc>
          <w:tcPr>
            <w:tcW w:w="1137" w:type="dxa"/>
            <w:tcBorders>
              <w:top w:val="nil"/>
              <w:left w:val="nil"/>
              <w:bottom w:val="nil"/>
              <w:right w:val="nil"/>
            </w:tcBorders>
            <w:vAlign w:val="center"/>
          </w:tcPr>
          <w:p>
            <w:pPr>
              <w:rPr>
                <w:sz w:val="15"/>
                <w:szCs w:val="15"/>
              </w:rPr>
            </w:pPr>
          </w:p>
        </w:tc>
        <w:tc>
          <w:tcPr>
            <w:tcW w:w="701" w:type="dxa"/>
            <w:tcBorders>
              <w:top w:val="nil"/>
              <w:left w:val="nil"/>
              <w:bottom w:val="nil"/>
              <w:right w:val="nil"/>
            </w:tcBorders>
            <w:vAlign w:val="center"/>
          </w:tcPr>
          <w:p>
            <w:pPr>
              <w:rPr>
                <w:sz w:val="15"/>
                <w:szCs w:val="15"/>
              </w:rPr>
            </w:pPr>
          </w:p>
        </w:tc>
        <w:tc>
          <w:tcPr>
            <w:tcW w:w="2218"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693" w:type="dxa"/>
            <w:tcBorders>
              <w:top w:val="nil"/>
              <w:left w:val="nil"/>
              <w:bottom w:val="nil"/>
              <w:right w:val="nil"/>
            </w:tcBorders>
            <w:vAlign w:val="center"/>
          </w:tcPr>
          <w:p>
            <w:pPr>
              <w:rPr>
                <w:sz w:val="15"/>
                <w:szCs w:val="15"/>
              </w:rPr>
            </w:pPr>
          </w:p>
        </w:tc>
        <w:tc>
          <w:tcPr>
            <w:tcW w:w="788" w:type="dxa"/>
            <w:tcBorders>
              <w:top w:val="nil"/>
              <w:left w:val="nil"/>
              <w:bottom w:val="nil"/>
              <w:right w:val="nil"/>
            </w:tcBorders>
            <w:vAlign w:val="center"/>
          </w:tcPr>
          <w:p>
            <w:pPr>
              <w:rPr>
                <w:sz w:val="15"/>
                <w:szCs w:val="15"/>
              </w:rPr>
            </w:pPr>
          </w:p>
        </w:tc>
        <w:tc>
          <w:tcPr>
            <w:tcW w:w="662" w:type="dxa"/>
            <w:gridSpan w:val="2"/>
            <w:tcBorders>
              <w:top w:val="nil"/>
              <w:left w:val="nil"/>
              <w:bottom w:val="nil"/>
              <w:right w:val="nil"/>
            </w:tcBorders>
            <w:vAlign w:val="center"/>
          </w:tcPr>
          <w:p>
            <w:pPr>
              <w:rPr>
                <w:sz w:val="15"/>
                <w:szCs w:val="15"/>
              </w:rPr>
            </w:pPr>
          </w:p>
        </w:tc>
        <w:tc>
          <w:tcPr>
            <w:tcW w:w="521" w:type="dxa"/>
            <w:gridSpan w:val="2"/>
            <w:tcBorders>
              <w:top w:val="nil"/>
              <w:left w:val="nil"/>
              <w:bottom w:val="nil"/>
              <w:right w:val="nil"/>
            </w:tcBorders>
            <w:vAlign w:val="center"/>
          </w:tcPr>
          <w:p>
            <w:pPr>
              <w:rPr>
                <w:sz w:val="15"/>
                <w:szCs w:val="15"/>
              </w:rPr>
            </w:pPr>
          </w:p>
        </w:tc>
        <w:tc>
          <w:tcPr>
            <w:tcW w:w="1216" w:type="dxa"/>
            <w:gridSpan w:val="2"/>
            <w:tcBorders>
              <w:top w:val="nil"/>
              <w:left w:val="nil"/>
              <w:bottom w:val="nil"/>
              <w:right w:val="nil"/>
            </w:tcBorders>
            <w:vAlign w:val="center"/>
          </w:tcPr>
          <w:p>
            <w:pPr>
              <w:rPr>
                <w:sz w:val="15"/>
                <w:szCs w:val="15"/>
              </w:rPr>
            </w:pPr>
          </w:p>
        </w:tc>
      </w:tr>
      <w:tr>
        <w:tblPrEx>
          <w:tblCellMar>
            <w:top w:w="0" w:type="dxa"/>
            <w:left w:w="108" w:type="dxa"/>
            <w:bottom w:w="0" w:type="dxa"/>
            <w:right w:w="108" w:type="dxa"/>
          </w:tblCellMar>
        </w:tblPrEx>
        <w:trPr>
          <w:gridAfter w:val="1"/>
          <w:wAfter w:w="864" w:type="dxa"/>
          <w:trHeight w:val="904"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440"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51340021R000000052022-州本级目标绩效</w:t>
            </w:r>
          </w:p>
        </w:tc>
      </w:tr>
      <w:tr>
        <w:tblPrEx>
          <w:tblCellMar>
            <w:top w:w="0" w:type="dxa"/>
            <w:left w:w="108" w:type="dxa"/>
            <w:bottom w:w="0" w:type="dxa"/>
            <w:right w:w="108" w:type="dxa"/>
          </w:tblCellMar>
        </w:tblPrEx>
        <w:trPr>
          <w:gridAfter w:val="1"/>
          <w:wAfter w:w="864" w:type="dxa"/>
          <w:trHeight w:val="697"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凉山州科学技术协会部门</w:t>
            </w:r>
          </w:p>
        </w:tc>
        <w:tc>
          <w:tcPr>
            <w:tcW w:w="788" w:type="dxa"/>
            <w:tcBorders>
              <w:top w:val="nil"/>
              <w:left w:val="nil"/>
              <w:bottom w:val="nil"/>
              <w:right w:val="nil"/>
            </w:tcBorders>
            <w:vAlign w:val="center"/>
          </w:tcPr>
          <w:p>
            <w:pPr>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66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严格执行相关政策，定额定编逐人核定。保障职工目标绩效及时、足额发放。预算编制科学合理，减少结余资金。</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严格执行相关政策，定额定编逐人核定。年度内完成了职工目标绩效及时、足额发放。预算编制科学合理，减少结余资金。</w:t>
            </w:r>
          </w:p>
        </w:tc>
      </w:tr>
      <w:tr>
        <w:tblPrEx>
          <w:tblCellMar>
            <w:top w:w="0" w:type="dxa"/>
            <w:left w:w="108" w:type="dxa"/>
            <w:bottom w:w="0" w:type="dxa"/>
            <w:right w:w="108" w:type="dxa"/>
          </w:tblCellMar>
        </w:tblPrEx>
        <w:trPr>
          <w:gridAfter w:val="1"/>
          <w:wAfter w:w="864" w:type="dxa"/>
          <w:trHeight w:val="70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w:t>
            </w:r>
          </w:p>
        </w:tc>
      </w:tr>
      <w:tr>
        <w:tblPrEx>
          <w:tblCellMar>
            <w:top w:w="0" w:type="dxa"/>
            <w:left w:w="108" w:type="dxa"/>
            <w:bottom w:w="0" w:type="dxa"/>
            <w:right w:w="108" w:type="dxa"/>
          </w:tblCellMar>
        </w:tblPrEx>
        <w:trPr>
          <w:gridAfter w:val="1"/>
          <w:wAfter w:w="864" w:type="dxa"/>
          <w:trHeight w:val="54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75.07</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147.21</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147.21</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严格按照国家及地方职工目标绩效相关政策调整增加、逐人核定编制执行清算调出调进增加。</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75.07</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147.21</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147.21</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发放（缴纳）覆盖率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60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足额保障率（参保率）</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无</w:t>
            </w: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严格执行相关政策，定额定编逐人核定。保障职工目标绩效及时、足额发放。预算执行中不存在无故拖延、错发、误发职工工目标绩效情况发生，也无超范围发放职工目标绩效等违纪记录情况发生。预算编制科学合理，减少结余资金。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3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4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346" w:hRule="atLeast"/>
        </w:trPr>
        <w:tc>
          <w:tcPr>
            <w:tcW w:w="1050" w:type="dxa"/>
            <w:tcBorders>
              <w:top w:val="nil"/>
              <w:left w:val="nil"/>
              <w:bottom w:val="nil"/>
              <w:right w:val="nil"/>
            </w:tcBorders>
            <w:vAlign w:val="center"/>
          </w:tcPr>
          <w:p>
            <w:pPr>
              <w:rPr>
                <w:sz w:val="15"/>
                <w:szCs w:val="15"/>
              </w:rPr>
            </w:pPr>
          </w:p>
        </w:tc>
        <w:tc>
          <w:tcPr>
            <w:tcW w:w="1137" w:type="dxa"/>
            <w:tcBorders>
              <w:top w:val="nil"/>
              <w:left w:val="nil"/>
              <w:bottom w:val="nil"/>
              <w:right w:val="nil"/>
            </w:tcBorders>
            <w:vAlign w:val="center"/>
          </w:tcPr>
          <w:p>
            <w:pPr>
              <w:rPr>
                <w:sz w:val="15"/>
                <w:szCs w:val="15"/>
              </w:rPr>
            </w:pPr>
          </w:p>
        </w:tc>
        <w:tc>
          <w:tcPr>
            <w:tcW w:w="701" w:type="dxa"/>
            <w:tcBorders>
              <w:top w:val="nil"/>
              <w:left w:val="nil"/>
              <w:bottom w:val="nil"/>
              <w:right w:val="nil"/>
            </w:tcBorders>
            <w:vAlign w:val="center"/>
          </w:tcPr>
          <w:p>
            <w:pPr>
              <w:rPr>
                <w:sz w:val="15"/>
                <w:szCs w:val="15"/>
              </w:rPr>
            </w:pPr>
          </w:p>
        </w:tc>
        <w:tc>
          <w:tcPr>
            <w:tcW w:w="2218"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594" w:type="dxa"/>
            <w:tcBorders>
              <w:top w:val="nil"/>
              <w:left w:val="nil"/>
              <w:bottom w:val="nil"/>
              <w:right w:val="nil"/>
            </w:tcBorders>
            <w:vAlign w:val="center"/>
          </w:tcPr>
          <w:p>
            <w:pPr>
              <w:rPr>
                <w:sz w:val="15"/>
                <w:szCs w:val="15"/>
              </w:rPr>
            </w:pPr>
          </w:p>
        </w:tc>
        <w:tc>
          <w:tcPr>
            <w:tcW w:w="693" w:type="dxa"/>
            <w:tcBorders>
              <w:top w:val="nil"/>
              <w:left w:val="nil"/>
              <w:bottom w:val="nil"/>
              <w:right w:val="nil"/>
            </w:tcBorders>
            <w:vAlign w:val="center"/>
          </w:tcPr>
          <w:p>
            <w:pPr>
              <w:rPr>
                <w:sz w:val="15"/>
                <w:szCs w:val="15"/>
              </w:rPr>
            </w:pPr>
          </w:p>
        </w:tc>
        <w:tc>
          <w:tcPr>
            <w:tcW w:w="788" w:type="dxa"/>
            <w:tcBorders>
              <w:top w:val="nil"/>
              <w:left w:val="nil"/>
              <w:bottom w:val="nil"/>
              <w:right w:val="nil"/>
            </w:tcBorders>
            <w:vAlign w:val="center"/>
          </w:tcPr>
          <w:p>
            <w:pPr>
              <w:rPr>
                <w:sz w:val="15"/>
                <w:szCs w:val="15"/>
              </w:rPr>
            </w:pPr>
          </w:p>
        </w:tc>
        <w:tc>
          <w:tcPr>
            <w:tcW w:w="662" w:type="dxa"/>
            <w:gridSpan w:val="2"/>
            <w:tcBorders>
              <w:top w:val="nil"/>
              <w:left w:val="nil"/>
              <w:bottom w:val="nil"/>
              <w:right w:val="nil"/>
            </w:tcBorders>
            <w:vAlign w:val="center"/>
          </w:tcPr>
          <w:p>
            <w:pPr>
              <w:rPr>
                <w:sz w:val="15"/>
                <w:szCs w:val="15"/>
              </w:rPr>
            </w:pPr>
          </w:p>
        </w:tc>
        <w:tc>
          <w:tcPr>
            <w:tcW w:w="521" w:type="dxa"/>
            <w:gridSpan w:val="2"/>
            <w:tcBorders>
              <w:top w:val="nil"/>
              <w:left w:val="nil"/>
              <w:bottom w:val="nil"/>
              <w:right w:val="nil"/>
            </w:tcBorders>
            <w:vAlign w:val="center"/>
          </w:tcPr>
          <w:p>
            <w:pPr>
              <w:rPr>
                <w:sz w:val="15"/>
                <w:szCs w:val="15"/>
              </w:rPr>
            </w:pPr>
          </w:p>
        </w:tc>
        <w:tc>
          <w:tcPr>
            <w:tcW w:w="1216" w:type="dxa"/>
            <w:gridSpan w:val="2"/>
            <w:tcBorders>
              <w:top w:val="nil"/>
              <w:left w:val="nil"/>
              <w:bottom w:val="nil"/>
              <w:right w:val="nil"/>
            </w:tcBorders>
            <w:vAlign w:val="center"/>
          </w:tcPr>
          <w:p>
            <w:pPr>
              <w:rPr>
                <w:sz w:val="15"/>
                <w:szCs w:val="15"/>
              </w:rPr>
            </w:pPr>
          </w:p>
        </w:tc>
      </w:tr>
      <w:tr>
        <w:tblPrEx>
          <w:tblCellMar>
            <w:top w:w="0" w:type="dxa"/>
            <w:left w:w="108" w:type="dxa"/>
            <w:bottom w:w="0" w:type="dxa"/>
            <w:right w:w="108" w:type="dxa"/>
          </w:tblCellMar>
        </w:tblPrEx>
        <w:trPr>
          <w:gridAfter w:val="1"/>
          <w:wAfter w:w="864" w:type="dxa"/>
          <w:trHeight w:val="474"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458"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rPr>
                <w:sz w:val="18"/>
                <w:szCs w:val="18"/>
              </w:rPr>
            </w:pPr>
            <w:r>
              <w:rPr>
                <w:sz w:val="18"/>
                <w:szCs w:val="18"/>
              </w:rPr>
              <w:t>51340021Y000000027027-州本级其他公用经费</w:t>
            </w:r>
          </w:p>
        </w:tc>
      </w:tr>
      <w:tr>
        <w:tblPrEx>
          <w:tblCellMar>
            <w:top w:w="0" w:type="dxa"/>
            <w:left w:w="108" w:type="dxa"/>
            <w:bottom w:w="0" w:type="dxa"/>
            <w:right w:w="108" w:type="dxa"/>
          </w:tblCellMar>
        </w:tblPrEx>
        <w:trPr>
          <w:gridAfter w:val="1"/>
          <w:wAfter w:w="864" w:type="dxa"/>
          <w:trHeight w:val="802"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凉山州科学技术协会部门</w:t>
            </w:r>
          </w:p>
        </w:tc>
        <w:tc>
          <w:tcPr>
            <w:tcW w:w="78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396"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566"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提高预算编制质量，严格执行预算，保障单位日常运转。</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严格执行预算，年度内及时申请支用保障单位日常运转。</w:t>
            </w:r>
          </w:p>
        </w:tc>
      </w:tr>
      <w:tr>
        <w:tblPrEx>
          <w:tblCellMar>
            <w:top w:w="0" w:type="dxa"/>
            <w:left w:w="108" w:type="dxa"/>
            <w:bottom w:w="0" w:type="dxa"/>
            <w:right w:w="108" w:type="dxa"/>
          </w:tblCellMar>
        </w:tblPrEx>
        <w:trPr>
          <w:gridAfter w:val="1"/>
          <w:wAfter w:w="864" w:type="dxa"/>
          <w:trHeight w:val="66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严格执行预算，日常公用经费按照“总量控制、计划管理”的要求从严控制行政经费。及时申请支用保障单位日常运转。</w:t>
            </w:r>
          </w:p>
        </w:tc>
      </w:tr>
      <w:tr>
        <w:tblPrEx>
          <w:tblCellMar>
            <w:top w:w="0" w:type="dxa"/>
            <w:left w:w="108" w:type="dxa"/>
            <w:bottom w:w="0" w:type="dxa"/>
            <w:right w:w="108" w:type="dxa"/>
          </w:tblCellMar>
        </w:tblPrEx>
        <w:trPr>
          <w:gridAfter w:val="1"/>
          <w:wAfter w:w="864" w:type="dxa"/>
          <w:trHeight w:val="500"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34.17</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32.14</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32.14</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严格执行财政相关政策，压减会议费、差旅费10%。</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34.17</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32.14</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32.14</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科目调整次数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5</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次</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5</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67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质量指标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预算编制准确率（计算方法为：∣（执行数-预算数）/预算数∣）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5</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5</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904"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经济效益指标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“三公经费”控制率[计算方法为：（三公经费实际支出数/预算安排数]×100%）</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75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运转保障率</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286"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严格执行预算，日常公用经费按照“总量控制、计划管理”的要求从严控制行政经费，及时申请支用保障单位日常运转。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3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48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财务负责人：毛正华</w:t>
            </w:r>
          </w:p>
        </w:tc>
      </w:tr>
      <w:tr>
        <w:tblPrEx>
          <w:tblCellMar>
            <w:top w:w="0" w:type="dxa"/>
            <w:left w:w="108" w:type="dxa"/>
            <w:bottom w:w="0" w:type="dxa"/>
            <w:right w:w="108" w:type="dxa"/>
          </w:tblCellMar>
        </w:tblPrEx>
        <w:trPr>
          <w:gridAfter w:val="1"/>
          <w:wAfter w:w="864" w:type="dxa"/>
          <w:trHeight w:val="360" w:hRule="atLeast"/>
        </w:trPr>
        <w:tc>
          <w:tcPr>
            <w:tcW w:w="1050" w:type="dxa"/>
            <w:tcBorders>
              <w:top w:val="nil"/>
              <w:left w:val="nil"/>
              <w:bottom w:val="nil"/>
              <w:right w:val="nil"/>
            </w:tcBorders>
            <w:vAlign w:val="center"/>
          </w:tcPr>
          <w:p>
            <w:pPr>
              <w:rPr>
                <w:sz w:val="18"/>
                <w:szCs w:val="18"/>
              </w:rPr>
            </w:pPr>
          </w:p>
        </w:tc>
        <w:tc>
          <w:tcPr>
            <w:tcW w:w="1137" w:type="dxa"/>
            <w:tcBorders>
              <w:top w:val="nil"/>
              <w:left w:val="nil"/>
              <w:bottom w:val="nil"/>
              <w:right w:val="nil"/>
            </w:tcBorders>
            <w:vAlign w:val="center"/>
          </w:tcPr>
          <w:p>
            <w:pPr>
              <w:rPr>
                <w:sz w:val="18"/>
                <w:szCs w:val="18"/>
              </w:rPr>
            </w:pPr>
          </w:p>
          <w:p>
            <w:pPr>
              <w:rPr>
                <w:sz w:val="18"/>
                <w:szCs w:val="18"/>
              </w:rPr>
            </w:pPr>
          </w:p>
          <w:p>
            <w:pPr>
              <w:rPr>
                <w:sz w:val="18"/>
                <w:szCs w:val="18"/>
              </w:rPr>
            </w:pPr>
          </w:p>
        </w:tc>
        <w:tc>
          <w:tcPr>
            <w:tcW w:w="701" w:type="dxa"/>
            <w:tcBorders>
              <w:top w:val="nil"/>
              <w:left w:val="nil"/>
              <w:bottom w:val="nil"/>
              <w:right w:val="nil"/>
            </w:tcBorders>
            <w:vAlign w:val="center"/>
          </w:tcPr>
          <w:p>
            <w:pPr>
              <w:rPr>
                <w:sz w:val="18"/>
                <w:szCs w:val="18"/>
              </w:rPr>
            </w:pPr>
          </w:p>
        </w:tc>
        <w:tc>
          <w:tcPr>
            <w:tcW w:w="2218" w:type="dxa"/>
            <w:tcBorders>
              <w:top w:val="nil"/>
              <w:left w:val="nil"/>
              <w:bottom w:val="nil"/>
              <w:right w:val="nil"/>
            </w:tcBorders>
            <w:vAlign w:val="center"/>
          </w:tcPr>
          <w:p>
            <w:pPr>
              <w:rPr>
                <w:sz w:val="18"/>
                <w:szCs w:val="18"/>
              </w:rPr>
            </w:pPr>
          </w:p>
        </w:tc>
        <w:tc>
          <w:tcPr>
            <w:tcW w:w="594" w:type="dxa"/>
            <w:tcBorders>
              <w:top w:val="nil"/>
              <w:left w:val="nil"/>
              <w:bottom w:val="nil"/>
              <w:right w:val="nil"/>
            </w:tcBorders>
            <w:vAlign w:val="center"/>
          </w:tcPr>
          <w:p>
            <w:pPr>
              <w:rPr>
                <w:sz w:val="18"/>
                <w:szCs w:val="18"/>
              </w:rPr>
            </w:pPr>
          </w:p>
        </w:tc>
        <w:tc>
          <w:tcPr>
            <w:tcW w:w="594" w:type="dxa"/>
            <w:tcBorders>
              <w:top w:val="nil"/>
              <w:left w:val="nil"/>
              <w:bottom w:val="nil"/>
              <w:right w:val="nil"/>
            </w:tcBorders>
            <w:vAlign w:val="center"/>
          </w:tcPr>
          <w:p>
            <w:pPr>
              <w:rPr>
                <w:sz w:val="18"/>
                <w:szCs w:val="18"/>
              </w:rPr>
            </w:pPr>
          </w:p>
        </w:tc>
        <w:tc>
          <w:tcPr>
            <w:tcW w:w="693" w:type="dxa"/>
            <w:tcBorders>
              <w:top w:val="nil"/>
              <w:left w:val="nil"/>
              <w:bottom w:val="nil"/>
              <w:right w:val="nil"/>
            </w:tcBorders>
            <w:vAlign w:val="center"/>
          </w:tcPr>
          <w:p>
            <w:pPr>
              <w:rPr>
                <w:sz w:val="18"/>
                <w:szCs w:val="18"/>
              </w:rPr>
            </w:pPr>
          </w:p>
        </w:tc>
        <w:tc>
          <w:tcPr>
            <w:tcW w:w="788" w:type="dxa"/>
            <w:tcBorders>
              <w:top w:val="nil"/>
              <w:left w:val="nil"/>
              <w:bottom w:val="nil"/>
              <w:right w:val="nil"/>
            </w:tcBorders>
            <w:vAlign w:val="center"/>
          </w:tcPr>
          <w:p>
            <w:pPr>
              <w:rPr>
                <w:sz w:val="18"/>
                <w:szCs w:val="18"/>
              </w:rPr>
            </w:pPr>
          </w:p>
        </w:tc>
        <w:tc>
          <w:tcPr>
            <w:tcW w:w="662" w:type="dxa"/>
            <w:gridSpan w:val="2"/>
            <w:tcBorders>
              <w:top w:val="nil"/>
              <w:left w:val="nil"/>
              <w:bottom w:val="nil"/>
              <w:right w:val="nil"/>
            </w:tcBorders>
            <w:vAlign w:val="center"/>
          </w:tcPr>
          <w:p>
            <w:pPr>
              <w:rPr>
                <w:sz w:val="18"/>
                <w:szCs w:val="18"/>
              </w:rPr>
            </w:pPr>
          </w:p>
        </w:tc>
        <w:tc>
          <w:tcPr>
            <w:tcW w:w="521" w:type="dxa"/>
            <w:gridSpan w:val="2"/>
            <w:tcBorders>
              <w:top w:val="nil"/>
              <w:left w:val="nil"/>
              <w:bottom w:val="nil"/>
              <w:right w:val="nil"/>
            </w:tcBorders>
            <w:vAlign w:val="center"/>
          </w:tcPr>
          <w:p>
            <w:pPr>
              <w:rPr>
                <w:sz w:val="18"/>
                <w:szCs w:val="18"/>
              </w:rPr>
            </w:pPr>
          </w:p>
        </w:tc>
        <w:tc>
          <w:tcPr>
            <w:tcW w:w="1216" w:type="dxa"/>
            <w:gridSpan w:val="2"/>
            <w:tcBorders>
              <w:top w:val="nil"/>
              <w:left w:val="nil"/>
              <w:bottom w:val="nil"/>
              <w:right w:val="nil"/>
            </w:tcBorders>
            <w:vAlign w:val="center"/>
          </w:tcPr>
          <w:p>
            <w:pPr>
              <w:rPr>
                <w:sz w:val="18"/>
                <w:szCs w:val="18"/>
              </w:rPr>
            </w:pPr>
          </w:p>
        </w:tc>
      </w:tr>
      <w:tr>
        <w:tblPrEx>
          <w:tblCellMar>
            <w:top w:w="0" w:type="dxa"/>
            <w:left w:w="108" w:type="dxa"/>
            <w:bottom w:w="0" w:type="dxa"/>
            <w:right w:w="108" w:type="dxa"/>
          </w:tblCellMar>
        </w:tblPrEx>
        <w:trPr>
          <w:gridAfter w:val="1"/>
          <w:wAfter w:w="864" w:type="dxa"/>
          <w:trHeight w:val="538" w:hRule="atLeast"/>
        </w:trPr>
        <w:tc>
          <w:tcPr>
            <w:tcW w:w="10174" w:type="dxa"/>
            <w:gridSpan w:val="14"/>
            <w:tcBorders>
              <w:top w:val="single" w:color="000000" w:sz="4" w:space="0"/>
              <w:left w:val="single" w:color="000000" w:sz="4" w:space="0"/>
              <w:bottom w:val="single" w:color="000000" w:sz="4" w:space="0"/>
              <w:right w:val="single" w:color="000000" w:sz="4" w:space="0"/>
            </w:tcBorders>
            <w:vAlign w:val="center"/>
          </w:tcPr>
          <w:p>
            <w:pPr>
              <w:jc w:val="center"/>
              <w:rPr>
                <w:sz w:val="15"/>
                <w:szCs w:val="15"/>
              </w:rPr>
            </w:pPr>
            <w:r>
              <w:rPr>
                <w:rFonts w:hint="eastAsia"/>
                <w:b/>
                <w:bCs/>
                <w:sz w:val="24"/>
              </w:rPr>
              <w:t>部门预算项目支出绩效自评表（2022年度）</w:t>
            </w:r>
          </w:p>
        </w:tc>
      </w:tr>
      <w:tr>
        <w:tblPrEx>
          <w:tblCellMar>
            <w:top w:w="0" w:type="dxa"/>
            <w:left w:w="108" w:type="dxa"/>
            <w:bottom w:w="0" w:type="dxa"/>
            <w:right w:w="108" w:type="dxa"/>
          </w:tblCellMar>
        </w:tblPrEx>
        <w:trPr>
          <w:gridAfter w:val="1"/>
          <w:wAfter w:w="864" w:type="dxa"/>
          <w:trHeight w:val="402"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项目名称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51340021Y000000057571-州本级定额公用经费</w:t>
            </w:r>
          </w:p>
        </w:tc>
      </w:tr>
      <w:tr>
        <w:tblPrEx>
          <w:tblCellMar>
            <w:top w:w="0" w:type="dxa"/>
            <w:left w:w="108" w:type="dxa"/>
            <w:bottom w:w="0" w:type="dxa"/>
            <w:right w:w="108" w:type="dxa"/>
          </w:tblCellMar>
        </w:tblPrEx>
        <w:trPr>
          <w:gridAfter w:val="1"/>
          <w:wAfter w:w="864" w:type="dxa"/>
          <w:trHeight w:val="512" w:hRule="atLeast"/>
        </w:trPr>
        <w:tc>
          <w:tcPr>
            <w:tcW w:w="21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主管部门</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凉山州科学技术协会部门</w:t>
            </w:r>
          </w:p>
        </w:tc>
        <w:tc>
          <w:tcPr>
            <w:tcW w:w="78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实施单位 （盖章）</w:t>
            </w:r>
          </w:p>
        </w:tc>
        <w:tc>
          <w:tcPr>
            <w:tcW w:w="2399"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凉山州科学技术协会</w:t>
            </w:r>
          </w:p>
        </w:tc>
      </w:tr>
      <w:tr>
        <w:tblPrEx>
          <w:tblCellMar>
            <w:top w:w="0" w:type="dxa"/>
            <w:left w:w="108" w:type="dxa"/>
            <w:bottom w:w="0" w:type="dxa"/>
            <w:right w:w="108" w:type="dxa"/>
          </w:tblCellMar>
        </w:tblPrEx>
        <w:trPr>
          <w:gridAfter w:val="1"/>
          <w:wAfter w:w="864" w:type="dxa"/>
          <w:trHeight w:val="286"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项目基本情况</w:t>
            </w: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1.项目年度目标完成情况</w:t>
            </w: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项目年度目标</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年度目标完成情况</w:t>
            </w:r>
          </w:p>
        </w:tc>
      </w:tr>
      <w:tr>
        <w:tblPrEx>
          <w:tblCellMar>
            <w:top w:w="0" w:type="dxa"/>
            <w:left w:w="108" w:type="dxa"/>
            <w:bottom w:w="0" w:type="dxa"/>
            <w:right w:w="108" w:type="dxa"/>
          </w:tblCellMar>
        </w:tblPrEx>
        <w:trPr>
          <w:gridAfter w:val="1"/>
          <w:wAfter w:w="864" w:type="dxa"/>
          <w:trHeight w:val="54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48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提高预算编制质量，严格执行预算，保障单位日常运转。</w:t>
            </w:r>
          </w:p>
        </w:tc>
        <w:tc>
          <w:tcPr>
            <w:tcW w:w="318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严格执行预算，年度内及时申请支用保障单位日常运转。</w:t>
            </w:r>
          </w:p>
        </w:tc>
      </w:tr>
      <w:tr>
        <w:tblPrEx>
          <w:tblCellMar>
            <w:top w:w="0" w:type="dxa"/>
            <w:left w:w="108" w:type="dxa"/>
            <w:bottom w:w="0" w:type="dxa"/>
            <w:right w:w="108" w:type="dxa"/>
          </w:tblCellMar>
        </w:tblPrEx>
        <w:trPr>
          <w:gridAfter w:val="1"/>
          <w:wAfter w:w="864" w:type="dxa"/>
          <w:trHeight w:val="50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2.项目实施内容及过程概述</w:t>
            </w:r>
          </w:p>
        </w:tc>
        <w:tc>
          <w:tcPr>
            <w:tcW w:w="7987"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严格执行预算，定额公用经费按照“总量控制、计划管理”的要求从严控制行政经费。厉行节约把控“三公经费”开支，及时申请支用保障单位日常运转。</w:t>
            </w:r>
          </w:p>
        </w:tc>
      </w:tr>
      <w:tr>
        <w:tblPrEx>
          <w:tblCellMar>
            <w:top w:w="0" w:type="dxa"/>
            <w:left w:w="108" w:type="dxa"/>
            <w:bottom w:w="0" w:type="dxa"/>
            <w:right w:w="108" w:type="dxa"/>
          </w:tblCellMar>
        </w:tblPrEx>
        <w:trPr>
          <w:gridAfter w:val="1"/>
          <w:wAfter w:w="864" w:type="dxa"/>
          <w:trHeight w:val="361"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预算执行情况（10分）</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年度预算数（万元）</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年初预算</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调整后预算数</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预算执行数</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预算执行率</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原因</w:t>
            </w:r>
          </w:p>
        </w:tc>
      </w:tr>
      <w:tr>
        <w:tblPrEx>
          <w:tblCellMar>
            <w:top w:w="0" w:type="dxa"/>
            <w:left w:w="108" w:type="dxa"/>
            <w:bottom w:w="0" w:type="dxa"/>
            <w:right w:w="108" w:type="dxa"/>
          </w:tblCellMar>
        </w:tblPrEx>
        <w:trPr>
          <w:gridAfter w:val="1"/>
          <w:wAfter w:w="864" w:type="dxa"/>
          <w:trHeight w:val="38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总额</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16.80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17.26</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17.26</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w:t>
            </w:r>
          </w:p>
        </w:tc>
        <w:tc>
          <w:tcPr>
            <w:tcW w:w="121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清算调进调出人员，增加定额公用经费。</w:t>
            </w:r>
          </w:p>
        </w:tc>
      </w:tr>
      <w:tr>
        <w:tblPrEx>
          <w:tblCellMar>
            <w:top w:w="0" w:type="dxa"/>
            <w:left w:w="108" w:type="dxa"/>
            <w:bottom w:w="0" w:type="dxa"/>
            <w:right w:w="108" w:type="dxa"/>
          </w:tblCellMar>
        </w:tblPrEx>
        <w:trPr>
          <w:gridAfter w:val="1"/>
          <w:wAfter w:w="864" w:type="dxa"/>
          <w:trHeight w:val="43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其中：财政资金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16.80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17.26</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17.26</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47"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财政专户管理资金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0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单位资金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0.00%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37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其他资金</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88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1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452"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绩效指标（90分）</w:t>
            </w:r>
          </w:p>
        </w:tc>
        <w:tc>
          <w:tcPr>
            <w:tcW w:w="1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一级指标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二级指标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三级指标</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指标性质</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指标值</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度量单位</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完成值</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权重</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得分</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未完成原因分析</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产出指标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数量指标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科目调整次数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5</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次</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5</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7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质量指标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预算编制准确率（计算方法为：∣（执行数-预算数）/预算数∣）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5</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5</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30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904"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效益指标</w:t>
            </w: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经济效益指标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“三公经费”控制率[计算方法为：（三公经费实际支出数/预算安排数]×100%）</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33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社会效益指标</w:t>
            </w:r>
          </w:p>
        </w:tc>
        <w:tc>
          <w:tcPr>
            <w:tcW w:w="22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运转保障率</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100</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w:t>
            </w: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100</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20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339" w:hRule="atLeast"/>
        </w:trPr>
        <w:tc>
          <w:tcPr>
            <w:tcW w:w="7775"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eastAsia="宋体"/>
                <w:sz w:val="18"/>
                <w:szCs w:val="18"/>
                <w:lang w:eastAsia="zh-CN"/>
              </w:rPr>
            </w:pPr>
            <w:r>
              <w:rPr>
                <w:rFonts w:hint="eastAsia"/>
                <w:sz w:val="18"/>
                <w:szCs w:val="18"/>
                <w:lang w:eastAsia="zh-CN"/>
              </w:rPr>
              <w:t>合计</w:t>
            </w:r>
          </w:p>
        </w:tc>
        <w:tc>
          <w:tcPr>
            <w:tcW w:w="6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100</w:t>
            </w:r>
          </w:p>
        </w:tc>
        <w:tc>
          <w:tcPr>
            <w:tcW w:w="5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8"/>
                <w:szCs w:val="18"/>
                <w:lang w:val="en-US" w:eastAsia="zh-CN"/>
              </w:rPr>
            </w:pPr>
            <w:r>
              <w:rPr>
                <w:rFonts w:hint="eastAsia"/>
                <w:sz w:val="18"/>
                <w:szCs w:val="18"/>
                <w:lang w:val="en-US" w:eastAsia="zh-CN"/>
              </w:rPr>
              <w:t>100</w:t>
            </w: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r>
        <w:tblPrEx>
          <w:tblCellMar>
            <w:top w:w="0" w:type="dxa"/>
            <w:left w:w="108" w:type="dxa"/>
            <w:bottom w:w="0" w:type="dxa"/>
            <w:right w:w="108" w:type="dxa"/>
          </w:tblCellMar>
        </w:tblPrEx>
        <w:trPr>
          <w:gridAfter w:val="1"/>
          <w:wAfter w:w="864" w:type="dxa"/>
          <w:trHeight w:val="60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评价结论</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严格执行预算，定额公用经费按照“总量控制、计划管理”的要求从严控制行政经费。厉行节约把控“三公经费”开支，及时申请支用保障单位日常运转。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864" w:type="dxa"/>
          <w:trHeight w:val="572"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存在问题</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633"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sz w:val="18"/>
                <w:szCs w:val="18"/>
              </w:rPr>
              <w:t>改进措施</w:t>
            </w:r>
          </w:p>
        </w:tc>
        <w:tc>
          <w:tcPr>
            <w:tcW w:w="912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无</w:t>
            </w:r>
          </w:p>
        </w:tc>
      </w:tr>
      <w:tr>
        <w:tblPrEx>
          <w:tblCellMar>
            <w:top w:w="0" w:type="dxa"/>
            <w:left w:w="108" w:type="dxa"/>
            <w:bottom w:w="0" w:type="dxa"/>
            <w:right w:w="108" w:type="dxa"/>
          </w:tblCellMar>
        </w:tblPrEx>
        <w:trPr>
          <w:gridAfter w:val="1"/>
          <w:wAfter w:w="864" w:type="dxa"/>
          <w:trHeight w:val="480" w:hRule="atLeast"/>
        </w:trPr>
        <w:tc>
          <w:tcPr>
            <w:tcW w:w="570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项目负责人：张舒雁</w:t>
            </w:r>
          </w:p>
        </w:tc>
        <w:tc>
          <w:tcPr>
            <w:tcW w:w="447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r>
              <w:rPr>
                <w:rFonts w:hint="eastAsia"/>
                <w:sz w:val="18"/>
                <w:szCs w:val="18"/>
              </w:rPr>
              <w:t>财务负责人：毛正华</w:t>
            </w:r>
          </w:p>
        </w:tc>
      </w:tr>
      <w:tr>
        <w:tblPrEx>
          <w:tblCellMar>
            <w:top w:w="0" w:type="dxa"/>
            <w:left w:w="108" w:type="dxa"/>
            <w:bottom w:w="0" w:type="dxa"/>
            <w:right w:w="108" w:type="dxa"/>
          </w:tblCellMar>
        </w:tblPrEx>
        <w:trPr>
          <w:trHeight w:val="240" w:hRule="atLeast"/>
        </w:trPr>
        <w:tc>
          <w:tcPr>
            <w:tcW w:w="105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113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70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221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59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594"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693"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85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62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521"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c>
          <w:tcPr>
            <w:tcW w:w="2060"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18"/>
                <w:szCs w:val="18"/>
              </w:rPr>
            </w:pPr>
          </w:p>
        </w:tc>
      </w:tr>
    </w:tbl>
    <w:p>
      <w:pPr>
        <w:pStyle w:val="6"/>
        <w:spacing w:before="93"/>
        <w:rPr>
          <w:rFonts w:hAnsi="宋体" w:cs="宋体"/>
          <w:sz w:val="32"/>
          <w:szCs w:val="32"/>
          <w:shd w:val="clear" w:color="auto" w:fill="FFFFFF"/>
          <w:lang w:val="zh-CN"/>
        </w:rPr>
      </w:pPr>
    </w:p>
    <w:tbl>
      <w:tblPr>
        <w:tblStyle w:val="18"/>
        <w:tblW w:w="17124" w:type="dxa"/>
        <w:tblInd w:w="-770" w:type="dxa"/>
        <w:tblLayout w:type="fixed"/>
        <w:tblCellMar>
          <w:top w:w="0" w:type="dxa"/>
          <w:left w:w="108" w:type="dxa"/>
          <w:bottom w:w="0" w:type="dxa"/>
          <w:right w:w="108" w:type="dxa"/>
        </w:tblCellMar>
      </w:tblPr>
      <w:tblGrid>
        <w:gridCol w:w="563"/>
        <w:gridCol w:w="281"/>
        <w:gridCol w:w="528"/>
        <w:gridCol w:w="324"/>
        <w:gridCol w:w="507"/>
        <w:gridCol w:w="597"/>
        <w:gridCol w:w="252"/>
        <w:gridCol w:w="2511"/>
        <w:gridCol w:w="75"/>
        <w:gridCol w:w="487"/>
        <w:gridCol w:w="75"/>
        <w:gridCol w:w="263"/>
        <w:gridCol w:w="187"/>
        <w:gridCol w:w="500"/>
        <w:gridCol w:w="38"/>
        <w:gridCol w:w="236"/>
        <w:gridCol w:w="45"/>
        <w:gridCol w:w="328"/>
        <w:gridCol w:w="23"/>
        <w:gridCol w:w="135"/>
        <w:gridCol w:w="328"/>
        <w:gridCol w:w="23"/>
        <w:gridCol w:w="396"/>
        <w:gridCol w:w="67"/>
        <w:gridCol w:w="1344"/>
        <w:gridCol w:w="4616"/>
        <w:gridCol w:w="486"/>
        <w:gridCol w:w="1909"/>
      </w:tblGrid>
      <w:tr>
        <w:tblPrEx>
          <w:tblCellMar>
            <w:top w:w="0" w:type="dxa"/>
            <w:left w:w="108" w:type="dxa"/>
            <w:bottom w:w="0" w:type="dxa"/>
            <w:right w:w="108" w:type="dxa"/>
          </w:tblCellMar>
        </w:tblPrEx>
        <w:trPr>
          <w:gridAfter w:val="3"/>
          <w:wAfter w:w="7011" w:type="dxa"/>
          <w:trHeight w:val="488" w:hRule="atLeast"/>
        </w:trPr>
        <w:tc>
          <w:tcPr>
            <w:tcW w:w="10113" w:type="dxa"/>
            <w:gridSpan w:val="2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24"/>
              </w:rPr>
              <w:t>部门预算项目支出绩效自评表（2022年度）</w:t>
            </w:r>
          </w:p>
        </w:tc>
      </w:tr>
      <w:tr>
        <w:tblPrEx>
          <w:tblCellMar>
            <w:top w:w="0" w:type="dxa"/>
            <w:left w:w="108" w:type="dxa"/>
            <w:bottom w:w="0" w:type="dxa"/>
            <w:right w:w="108" w:type="dxa"/>
          </w:tblCellMar>
        </w:tblPrEx>
        <w:trPr>
          <w:gridAfter w:val="3"/>
          <w:wAfter w:w="7011" w:type="dxa"/>
          <w:trHeight w:val="336" w:hRule="atLeast"/>
        </w:trPr>
        <w:tc>
          <w:tcPr>
            <w:tcW w:w="1696"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417" w:type="dxa"/>
            <w:gridSpan w:val="2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51340022T000000278902-学术交流活动业务经费</w:t>
            </w:r>
          </w:p>
        </w:tc>
      </w:tr>
      <w:tr>
        <w:tblPrEx>
          <w:tblCellMar>
            <w:top w:w="0" w:type="dxa"/>
            <w:left w:w="108" w:type="dxa"/>
            <w:bottom w:w="0" w:type="dxa"/>
            <w:right w:w="108" w:type="dxa"/>
          </w:tblCellMar>
        </w:tblPrEx>
        <w:trPr>
          <w:gridAfter w:val="3"/>
          <w:wAfter w:w="7011" w:type="dxa"/>
          <w:trHeight w:val="340" w:hRule="atLeast"/>
        </w:trPr>
        <w:tc>
          <w:tcPr>
            <w:tcW w:w="169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954"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819" w:type="dxa"/>
            <w:gridSpan w:val="4"/>
            <w:tcBorders>
              <w:top w:val="nil"/>
              <w:left w:val="nil"/>
              <w:bottom w:val="nil"/>
              <w:right w:val="nil"/>
            </w:tcBorders>
            <w:vAlign w:val="center"/>
          </w:tcPr>
          <w:p>
            <w:pPr>
              <w:widowControl/>
              <w:spacing w:line="24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5"/>
                <w:szCs w:val="15"/>
              </w:rPr>
              <w:t>实施单位 （盖章）</w:t>
            </w:r>
          </w:p>
        </w:tc>
        <w:tc>
          <w:tcPr>
            <w:tcW w:w="2644"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After w:val="3"/>
          <w:wAfter w:w="7011" w:type="dxa"/>
          <w:trHeight w:val="323" w:hRule="atLeast"/>
        </w:trPr>
        <w:tc>
          <w:tcPr>
            <w:tcW w:w="8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项目基本情况</w:t>
            </w:r>
          </w:p>
        </w:tc>
        <w:tc>
          <w:tcPr>
            <w:tcW w:w="8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1.项目年度目标完成情况</w:t>
            </w:r>
          </w:p>
        </w:tc>
        <w:tc>
          <w:tcPr>
            <w:tcW w:w="4954"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项目年度目标</w:t>
            </w:r>
          </w:p>
        </w:tc>
        <w:tc>
          <w:tcPr>
            <w:tcW w:w="3463"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年度目标完成情况</w:t>
            </w:r>
          </w:p>
        </w:tc>
      </w:tr>
      <w:tr>
        <w:tblPrEx>
          <w:tblCellMar>
            <w:top w:w="0" w:type="dxa"/>
            <w:left w:w="108" w:type="dxa"/>
            <w:bottom w:w="0" w:type="dxa"/>
            <w:right w:w="108" w:type="dxa"/>
          </w:tblCellMar>
        </w:tblPrEx>
        <w:trPr>
          <w:gridAfter w:val="3"/>
          <w:wAfter w:w="7011" w:type="dxa"/>
          <w:trHeight w:val="560"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sz w:val="15"/>
                <w:szCs w:val="15"/>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sz w:val="15"/>
                <w:szCs w:val="15"/>
              </w:rPr>
            </w:pPr>
          </w:p>
        </w:tc>
        <w:tc>
          <w:tcPr>
            <w:tcW w:w="4954" w:type="dxa"/>
            <w:gridSpan w:val="9"/>
            <w:tcBorders>
              <w:top w:val="single" w:color="000000" w:sz="4" w:space="0"/>
              <w:left w:val="single" w:color="000000" w:sz="4" w:space="0"/>
              <w:bottom w:val="single" w:color="000000" w:sz="4" w:space="0"/>
              <w:right w:val="single" w:color="000000" w:sz="4" w:space="0"/>
            </w:tcBorders>
            <w:vAlign w:val="center"/>
          </w:tcPr>
          <w:p>
            <w:pPr>
              <w:widowControl/>
              <w:spacing w:after="180" w:line="240" w:lineRule="exact"/>
              <w:jc w:val="left"/>
              <w:textAlignment w:val="center"/>
              <w:rPr>
                <w:rFonts w:ascii="宋体" w:hAnsi="宋体" w:cs="宋体"/>
                <w:color w:val="000000"/>
                <w:sz w:val="15"/>
                <w:szCs w:val="15"/>
              </w:rPr>
            </w:pPr>
            <w:r>
              <w:rPr>
                <w:rFonts w:ascii="宋体" w:hAnsi="宋体" w:cs="宋体"/>
                <w:color w:val="000000"/>
                <w:kern w:val="0"/>
                <w:sz w:val="15"/>
                <w:szCs w:val="15"/>
              </w:rPr>
              <w:t>省州科协下达为科技工作者搭建学术交流和成果转化平台，引导科技工作者，为我州科技事业发展和高质量发展服务任务。</w:t>
            </w:r>
          </w:p>
        </w:tc>
        <w:tc>
          <w:tcPr>
            <w:tcW w:w="3463"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年度内完成了省州科协下达为科技工作者搭建学术交流和成果转化平台，引导科技工作者，为我州科技事业发展和高质量发展服务任务。</w:t>
            </w:r>
          </w:p>
        </w:tc>
      </w:tr>
      <w:tr>
        <w:tblPrEx>
          <w:tblCellMar>
            <w:top w:w="0" w:type="dxa"/>
            <w:left w:w="108" w:type="dxa"/>
            <w:bottom w:w="0" w:type="dxa"/>
            <w:right w:w="108" w:type="dxa"/>
          </w:tblCellMar>
        </w:tblPrEx>
        <w:trPr>
          <w:gridAfter w:val="3"/>
          <w:wAfter w:w="7011" w:type="dxa"/>
          <w:trHeight w:val="384"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2.项目实施内容及过程概述</w:t>
            </w:r>
          </w:p>
        </w:tc>
        <w:tc>
          <w:tcPr>
            <w:tcW w:w="8417" w:type="dxa"/>
            <w:gridSpan w:val="21"/>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2022年9月完成了组织学会协会、相关科研团队前往宁波开展学术交流、学习先进工作经验等任务。</w:t>
            </w:r>
          </w:p>
        </w:tc>
      </w:tr>
      <w:tr>
        <w:tblPrEx>
          <w:tblCellMar>
            <w:top w:w="0" w:type="dxa"/>
            <w:left w:w="108" w:type="dxa"/>
            <w:bottom w:w="0" w:type="dxa"/>
            <w:right w:w="108" w:type="dxa"/>
          </w:tblCellMar>
        </w:tblPrEx>
        <w:trPr>
          <w:gridAfter w:val="3"/>
          <w:wAfter w:w="7011" w:type="dxa"/>
          <w:trHeight w:val="333" w:hRule="atLeast"/>
        </w:trPr>
        <w:tc>
          <w:tcPr>
            <w:tcW w:w="8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预算执行情况（10分）</w:t>
            </w: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年度预算数（万元）</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年初预算</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调整后预算数</w:t>
            </w: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预算执行数</w:t>
            </w: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预算执行率</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83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宋体" w:hAnsi="宋体" w:cs="宋体"/>
                <w:color w:val="000000"/>
                <w:sz w:val="15"/>
                <w:szCs w:val="15"/>
              </w:rPr>
            </w:pPr>
            <w:r>
              <w:rPr>
                <w:rFonts w:ascii="宋体" w:hAnsi="宋体" w:cs="宋体"/>
                <w:color w:val="000000"/>
                <w:kern w:val="0"/>
                <w:sz w:val="15"/>
                <w:szCs w:val="15"/>
              </w:rPr>
              <w:t>原因</w:t>
            </w:r>
          </w:p>
        </w:tc>
      </w:tr>
      <w:tr>
        <w:tblPrEx>
          <w:tblCellMar>
            <w:top w:w="0" w:type="dxa"/>
            <w:left w:w="108" w:type="dxa"/>
            <w:bottom w:w="0" w:type="dxa"/>
            <w:right w:w="108" w:type="dxa"/>
          </w:tblCellMar>
        </w:tblPrEx>
        <w:trPr>
          <w:gridAfter w:val="3"/>
          <w:wAfter w:w="7011" w:type="dxa"/>
          <w:trHeight w:val="198"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总额</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83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left"/>
              <w:textAlignment w:val="center"/>
              <w:rPr>
                <w:rFonts w:ascii="黑体" w:hAnsi="黑体" w:eastAsia="黑体" w:cs="黑体"/>
                <w:i/>
                <w:iCs/>
                <w:color w:val="000000"/>
                <w:sz w:val="15"/>
                <w:szCs w:val="15"/>
              </w:rPr>
            </w:pPr>
            <w:r>
              <w:rPr>
                <w:rFonts w:hint="eastAsia" w:ascii="黑体" w:hAnsi="黑体" w:eastAsia="黑体" w:cs="黑体"/>
                <w:i/>
                <w:iCs/>
                <w:color w:val="000000"/>
                <w:kern w:val="0"/>
                <w:sz w:val="15"/>
                <w:szCs w:val="15"/>
              </w:rPr>
              <w:t>预算执行率100%，执行情况良好。</w:t>
            </w:r>
          </w:p>
        </w:tc>
      </w:tr>
      <w:tr>
        <w:tblPrEx>
          <w:tblCellMar>
            <w:top w:w="0" w:type="dxa"/>
            <w:left w:w="108" w:type="dxa"/>
            <w:bottom w:w="0" w:type="dxa"/>
            <w:right w:w="108" w:type="dxa"/>
          </w:tblCellMar>
        </w:tblPrEx>
        <w:trPr>
          <w:gridAfter w:val="3"/>
          <w:wAfter w:w="7011" w:type="dxa"/>
          <w:trHeight w:val="236"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其中：财政资金</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12.00</w:t>
            </w: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83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 w:lineRule="atLeast"/>
              <w:rPr>
                <w:rFonts w:ascii="黑体" w:hAnsi="黑体" w:eastAsia="黑体" w:cs="黑体"/>
                <w:i/>
                <w:iCs/>
                <w:color w:val="000000"/>
                <w:sz w:val="15"/>
                <w:szCs w:val="15"/>
              </w:rPr>
            </w:pPr>
          </w:p>
        </w:tc>
      </w:tr>
      <w:tr>
        <w:tblPrEx>
          <w:tblCellMar>
            <w:top w:w="0" w:type="dxa"/>
            <w:left w:w="108" w:type="dxa"/>
            <w:bottom w:w="0" w:type="dxa"/>
            <w:right w:w="108" w:type="dxa"/>
          </w:tblCellMar>
        </w:tblPrEx>
        <w:trPr>
          <w:gridAfter w:val="3"/>
          <w:wAfter w:w="7011" w:type="dxa"/>
          <w:trHeight w:val="249"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财政专户管理资金</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83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 w:lineRule="atLeast"/>
              <w:rPr>
                <w:rFonts w:ascii="黑体" w:hAnsi="黑体" w:eastAsia="黑体" w:cs="黑体"/>
                <w:i/>
                <w:iCs/>
                <w:color w:val="000000"/>
                <w:sz w:val="15"/>
                <w:szCs w:val="15"/>
              </w:rPr>
            </w:pPr>
          </w:p>
        </w:tc>
      </w:tr>
      <w:tr>
        <w:tblPrEx>
          <w:tblCellMar>
            <w:top w:w="0" w:type="dxa"/>
            <w:left w:w="108" w:type="dxa"/>
            <w:bottom w:w="0" w:type="dxa"/>
            <w:right w:w="108" w:type="dxa"/>
          </w:tblCellMar>
        </w:tblPrEx>
        <w:trPr>
          <w:gridAfter w:val="3"/>
          <w:wAfter w:w="7011" w:type="dxa"/>
          <w:trHeight w:val="328"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单位资金</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83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 w:lineRule="atLeast"/>
              <w:rPr>
                <w:rFonts w:ascii="黑体" w:hAnsi="黑体" w:eastAsia="黑体" w:cs="黑体"/>
                <w:i/>
                <w:iCs/>
                <w:color w:val="000000"/>
                <w:sz w:val="15"/>
                <w:szCs w:val="15"/>
              </w:rPr>
            </w:pPr>
          </w:p>
        </w:tc>
      </w:tr>
      <w:tr>
        <w:tblPrEx>
          <w:tblCellMar>
            <w:top w:w="0" w:type="dxa"/>
            <w:left w:w="108" w:type="dxa"/>
            <w:bottom w:w="0" w:type="dxa"/>
            <w:right w:w="108" w:type="dxa"/>
          </w:tblCellMar>
        </w:tblPrEx>
        <w:trPr>
          <w:gridAfter w:val="3"/>
          <w:wAfter w:w="7011" w:type="dxa"/>
          <w:trHeight w:val="211"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其他资金</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微软雅黑" w:hAnsi="微软雅黑" w:eastAsia="微软雅黑" w:cs="微软雅黑"/>
                <w:i/>
                <w:iCs/>
                <w:color w:val="000000"/>
                <w:sz w:val="15"/>
                <w:szCs w:val="15"/>
              </w:rPr>
            </w:pP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微软雅黑" w:hAnsi="微软雅黑" w:eastAsia="微软雅黑" w:cs="微软雅黑"/>
                <w:i/>
                <w:iCs/>
                <w:color w:val="000000"/>
                <w:sz w:val="15"/>
                <w:szCs w:val="15"/>
              </w:rPr>
            </w:pPr>
          </w:p>
        </w:tc>
        <w:tc>
          <w:tcPr>
            <w:tcW w:w="108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微软雅黑" w:hAnsi="微软雅黑" w:eastAsia="微软雅黑" w:cs="微软雅黑"/>
                <w:i/>
                <w:iCs/>
                <w:color w:val="000000"/>
                <w:sz w:val="15"/>
                <w:szCs w:val="15"/>
              </w:rPr>
            </w:pPr>
          </w:p>
        </w:tc>
        <w:tc>
          <w:tcPr>
            <w:tcW w:w="81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微软雅黑" w:hAnsi="微软雅黑" w:eastAsia="微软雅黑" w:cs="微软雅黑"/>
                <w:i/>
                <w:iCs/>
                <w:color w:val="000000"/>
                <w:sz w:val="15"/>
                <w:szCs w:val="15"/>
              </w:rPr>
            </w:pP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3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83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 w:lineRule="atLeast"/>
              <w:rPr>
                <w:rFonts w:ascii="黑体" w:hAnsi="黑体" w:eastAsia="黑体" w:cs="黑体"/>
                <w:i/>
                <w:iCs/>
                <w:color w:val="000000"/>
                <w:sz w:val="15"/>
                <w:szCs w:val="15"/>
              </w:rPr>
            </w:pPr>
          </w:p>
        </w:tc>
      </w:tr>
      <w:tr>
        <w:tblPrEx>
          <w:tblCellMar>
            <w:top w:w="0" w:type="dxa"/>
            <w:left w:w="108" w:type="dxa"/>
            <w:bottom w:w="0" w:type="dxa"/>
            <w:right w:w="108" w:type="dxa"/>
          </w:tblCellMar>
        </w:tblPrEx>
        <w:trPr>
          <w:gridAfter w:val="3"/>
          <w:wAfter w:w="7011" w:type="dxa"/>
          <w:trHeight w:val="501" w:hRule="atLeast"/>
        </w:trPr>
        <w:tc>
          <w:tcPr>
            <w:tcW w:w="84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绩效指标（90分）</w:t>
            </w: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一级指标</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二级指标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三级指标</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指标性质</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指标值</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度量单位</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完成值</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宋体" w:hAnsi="宋体" w:cs="宋体"/>
                <w:color w:val="000000"/>
                <w:sz w:val="15"/>
                <w:szCs w:val="15"/>
              </w:rPr>
            </w:pPr>
            <w:r>
              <w:rPr>
                <w:rFonts w:ascii="宋体" w:hAnsi="宋体" w:cs="宋体"/>
                <w:color w:val="000000"/>
                <w:kern w:val="0"/>
                <w:sz w:val="15"/>
                <w:szCs w:val="15"/>
              </w:rPr>
              <w:t>未完成原因分析</w:t>
            </w:r>
          </w:p>
        </w:tc>
      </w:tr>
      <w:tr>
        <w:tblPrEx>
          <w:tblCellMar>
            <w:top w:w="0" w:type="dxa"/>
            <w:left w:w="108" w:type="dxa"/>
            <w:bottom w:w="0" w:type="dxa"/>
            <w:right w:w="108" w:type="dxa"/>
          </w:tblCellMar>
        </w:tblPrEx>
        <w:trPr>
          <w:gridAfter w:val="3"/>
          <w:wAfter w:w="7011" w:type="dxa"/>
          <w:trHeight w:val="320"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产出指标</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数量指标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预计参培科技人员25人次，5天。</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25</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人数</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25</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516"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质量指标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组织学会协会、相关科研团队前往宁波开展学术交流、学习先进工作经验等，</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95</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95</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347"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时效指标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2022年1-11月完成</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年</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color w:val="000000"/>
                <w:sz w:val="15"/>
                <w:szCs w:val="15"/>
                <w:lang w:eastAsia="zh-CN"/>
              </w:rPr>
            </w:pPr>
            <w:r>
              <w:rPr>
                <w:rFonts w:hint="eastAsia" w:ascii="宋体" w:hAnsi="宋体" w:cs="宋体"/>
                <w:color w:val="000000"/>
                <w:kern w:val="0"/>
                <w:sz w:val="15"/>
                <w:szCs w:val="15"/>
                <w:lang w:val="en-US" w:eastAsia="zh-CN"/>
              </w:rPr>
              <w:t>8</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前期支付较缓慢，扣</w:t>
            </w:r>
            <w:r>
              <w:rPr>
                <w:rFonts w:hint="eastAsia" w:ascii="微软雅黑" w:hAnsi="微软雅黑" w:eastAsia="微软雅黑" w:cs="微软雅黑"/>
                <w:i/>
                <w:iCs/>
                <w:color w:val="000000"/>
                <w:kern w:val="0"/>
                <w:sz w:val="15"/>
                <w:szCs w:val="15"/>
                <w:lang w:val="en-US" w:eastAsia="zh-CN"/>
              </w:rPr>
              <w:t>2分。</w:t>
            </w:r>
          </w:p>
        </w:tc>
      </w:tr>
      <w:tr>
        <w:tblPrEx>
          <w:tblCellMar>
            <w:top w:w="0" w:type="dxa"/>
            <w:left w:w="108" w:type="dxa"/>
            <w:bottom w:w="0" w:type="dxa"/>
            <w:right w:w="108" w:type="dxa"/>
          </w:tblCellMar>
        </w:tblPrEx>
        <w:trPr>
          <w:gridAfter w:val="3"/>
          <w:wAfter w:w="7011" w:type="dxa"/>
          <w:trHeight w:val="965"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成本指标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公杂伙食费90元/人天*25人*5天=11250；住宿350元/天人*25人*5天=43750元；往返交通费2600元/人*25人=65000元。共计12万元。</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万</w:t>
            </w:r>
            <w:r>
              <w:rPr>
                <w:rFonts w:ascii="宋体" w:hAnsi="宋体" w:cs="宋体"/>
                <w:color w:val="000000"/>
                <w:kern w:val="0"/>
                <w:sz w:val="15"/>
                <w:szCs w:val="15"/>
              </w:rPr>
              <w:t>元</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12</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20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1720"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效益指标</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社会效益指标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学习先进地区好的工作方法，好的工作经验，为科技工作者搭建学习交流等平台，进一步加强凉山州科协系统学会协会工作，推动科协所属学会(协会)认真履行职责，提升学会(协会)组织服务社会、服务创新驱动发展能力，为我州科技事业发展和高质量发展服务。</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5</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项</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5</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347"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生态效益指标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科技含量高、绿色环保。</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90</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633"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sz w:val="15"/>
                <w:szCs w:val="15"/>
              </w:rPr>
            </w:pPr>
          </w:p>
        </w:tc>
        <w:tc>
          <w:tcPr>
            <w:tcW w:w="8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满意度指标</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服务对象满意度指标</w:t>
            </w:r>
          </w:p>
        </w:tc>
        <w:tc>
          <w:tcPr>
            <w:tcW w:w="27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ascii="宋体" w:hAnsi="宋体" w:cs="宋体"/>
                <w:color w:val="000000"/>
                <w:kern w:val="0"/>
                <w:sz w:val="15"/>
                <w:szCs w:val="15"/>
              </w:rPr>
              <w:t>相关部门、参培科技人员满意度能够达到92%左右</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5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95</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0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95</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sz w:val="15"/>
                <w:szCs w:val="15"/>
                <w:lang w:val="en-US" w:eastAsia="zh-CN"/>
              </w:rPr>
              <w:t>8</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spacing w:line="20" w:lineRule="atLeas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满意度未达</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gridAfter w:val="3"/>
          <w:wAfter w:w="7011" w:type="dxa"/>
          <w:trHeight w:val="350" w:hRule="atLeast"/>
        </w:trPr>
        <w:tc>
          <w:tcPr>
            <w:tcW w:w="7797" w:type="dxa"/>
            <w:gridSpan w:val="1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i/>
                <w:iCs/>
                <w:color w:val="000000"/>
                <w:kern w:val="0"/>
                <w:sz w:val="15"/>
                <w:szCs w:val="15"/>
              </w:rPr>
            </w:pPr>
            <w:r>
              <w:rPr>
                <w:rFonts w:hint="eastAsia"/>
                <w:sz w:val="18"/>
                <w:szCs w:val="18"/>
                <w:lang w:eastAsia="zh-CN"/>
              </w:rPr>
              <w:t>合计</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100</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8"/>
                <w:szCs w:val="18"/>
                <w:lang w:val="en-US" w:eastAsia="zh-CN"/>
              </w:rPr>
            </w:pPr>
            <w:r>
              <w:rPr>
                <w:rFonts w:hint="eastAsia"/>
                <w:sz w:val="18"/>
                <w:szCs w:val="18"/>
                <w:lang w:val="en-US" w:eastAsia="zh-CN"/>
              </w:rPr>
              <w:t>96</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lang w:val="en-US" w:eastAsia="zh-CN"/>
              </w:rPr>
            </w:pPr>
          </w:p>
        </w:tc>
      </w:tr>
      <w:tr>
        <w:tblPrEx>
          <w:tblCellMar>
            <w:top w:w="0" w:type="dxa"/>
            <w:left w:w="108" w:type="dxa"/>
            <w:bottom w:w="0" w:type="dxa"/>
            <w:right w:w="108" w:type="dxa"/>
          </w:tblCellMar>
        </w:tblPrEx>
        <w:trPr>
          <w:gridAfter w:val="3"/>
          <w:wAfter w:w="7011" w:type="dxa"/>
          <w:trHeight w:val="508" w:hRule="atLeast"/>
        </w:trPr>
        <w:tc>
          <w:tcPr>
            <w:tcW w:w="8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评价结论</w:t>
            </w:r>
          </w:p>
        </w:tc>
        <w:tc>
          <w:tcPr>
            <w:tcW w:w="9269"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2022年9月完成了组织学会协会、相关科研团队前往宁波开展学术交流、学习先进工作经验等任务。从产出、效益、满意度指标等进行了以上打分，预算执行率100%，执行情况良好，自评得分</w:t>
            </w:r>
            <w:r>
              <w:rPr>
                <w:rFonts w:hint="eastAsia" w:ascii="微软雅黑" w:hAnsi="微软雅黑" w:eastAsia="微软雅黑" w:cs="微软雅黑"/>
                <w:i/>
                <w:iCs/>
                <w:color w:val="000000"/>
                <w:kern w:val="0"/>
                <w:sz w:val="15"/>
                <w:szCs w:val="15"/>
                <w:lang w:val="en-US" w:eastAsia="zh-CN"/>
              </w:rPr>
              <w:t>96</w:t>
            </w:r>
            <w:r>
              <w:rPr>
                <w:rFonts w:hint="eastAsia" w:ascii="微软雅黑" w:hAnsi="微软雅黑" w:eastAsia="微软雅黑" w:cs="微软雅黑"/>
                <w:i/>
                <w:iCs/>
                <w:color w:val="000000"/>
                <w:kern w:val="0"/>
                <w:sz w:val="15"/>
                <w:szCs w:val="15"/>
              </w:rPr>
              <w:t>分。</w:t>
            </w:r>
          </w:p>
        </w:tc>
      </w:tr>
      <w:tr>
        <w:tblPrEx>
          <w:tblCellMar>
            <w:top w:w="0" w:type="dxa"/>
            <w:left w:w="108" w:type="dxa"/>
            <w:bottom w:w="0" w:type="dxa"/>
            <w:right w:w="108" w:type="dxa"/>
          </w:tblCellMar>
        </w:tblPrEx>
        <w:trPr>
          <w:gridAfter w:val="3"/>
          <w:wAfter w:w="7011" w:type="dxa"/>
          <w:trHeight w:val="334" w:hRule="atLeast"/>
        </w:trPr>
        <w:tc>
          <w:tcPr>
            <w:tcW w:w="8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存在问题</w:t>
            </w:r>
          </w:p>
        </w:tc>
        <w:tc>
          <w:tcPr>
            <w:tcW w:w="9269"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467" w:hRule="atLeast"/>
        </w:trPr>
        <w:tc>
          <w:tcPr>
            <w:tcW w:w="8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ascii="宋体" w:hAnsi="宋体" w:cs="宋体"/>
                <w:color w:val="000000"/>
                <w:kern w:val="0"/>
                <w:sz w:val="15"/>
                <w:szCs w:val="15"/>
              </w:rPr>
              <w:t>改进措施</w:t>
            </w:r>
          </w:p>
        </w:tc>
        <w:tc>
          <w:tcPr>
            <w:tcW w:w="9269"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After w:val="3"/>
          <w:wAfter w:w="7011" w:type="dxa"/>
          <w:trHeight w:val="488" w:hRule="atLeast"/>
        </w:trPr>
        <w:tc>
          <w:tcPr>
            <w:tcW w:w="8283" w:type="dxa"/>
            <w:gridSpan w:val="21"/>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项目负责人：张舒雁</w:t>
            </w:r>
          </w:p>
        </w:tc>
        <w:tc>
          <w:tcPr>
            <w:tcW w:w="183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财务负责人：毛正华</w:t>
            </w:r>
          </w:p>
        </w:tc>
      </w:tr>
      <w:tr>
        <w:tblPrEx>
          <w:tblCellMar>
            <w:top w:w="0" w:type="dxa"/>
            <w:left w:w="108" w:type="dxa"/>
            <w:bottom w:w="0" w:type="dxa"/>
            <w:right w:w="108" w:type="dxa"/>
          </w:tblCellMar>
        </w:tblPrEx>
        <w:trPr>
          <w:trHeight w:val="321" w:hRule="atLeast"/>
        </w:trPr>
        <w:tc>
          <w:tcPr>
            <w:tcW w:w="844"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852"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1104"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2763"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562"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525" w:type="dxa"/>
            <w:gridSpan w:val="3"/>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538" w:type="dxa"/>
            <w:gridSpan w:val="2"/>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236" w:type="dxa"/>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7305" w:type="dxa"/>
            <w:gridSpan w:val="10"/>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486" w:type="dxa"/>
            <w:tcBorders>
              <w:top w:val="nil"/>
              <w:left w:val="nil"/>
              <w:bottom w:val="nil"/>
              <w:right w:val="nil"/>
            </w:tcBorders>
            <w:vAlign w:val="center"/>
          </w:tcPr>
          <w:p>
            <w:pPr>
              <w:widowControl/>
              <w:spacing w:line="240" w:lineRule="exact"/>
              <w:rPr>
                <w:rFonts w:ascii="宋体" w:hAnsi="宋体" w:cs="宋体"/>
                <w:color w:val="000000"/>
                <w:sz w:val="18"/>
                <w:szCs w:val="18"/>
              </w:rPr>
            </w:pPr>
          </w:p>
        </w:tc>
        <w:tc>
          <w:tcPr>
            <w:tcW w:w="1909" w:type="dxa"/>
            <w:tcBorders>
              <w:top w:val="nil"/>
              <w:left w:val="nil"/>
              <w:bottom w:val="nil"/>
              <w:right w:val="nil"/>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gridBefore w:val="1"/>
          <w:gridAfter w:val="3"/>
          <w:wBefore w:w="563" w:type="dxa"/>
          <w:wAfter w:w="7011" w:type="dxa"/>
          <w:trHeight w:val="620" w:hRule="atLeast"/>
        </w:trPr>
        <w:tc>
          <w:tcPr>
            <w:tcW w:w="9550"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Before w:val="1"/>
          <w:gridAfter w:val="3"/>
          <w:wBefore w:w="563" w:type="dxa"/>
          <w:wAfter w:w="7011" w:type="dxa"/>
          <w:trHeight w:val="325" w:hRule="atLeast"/>
        </w:trPr>
        <w:tc>
          <w:tcPr>
            <w:tcW w:w="16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7910" w:type="dxa"/>
            <w:gridSpan w:val="20"/>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51340022T000000278903-老科技工作者科普活动保障经费</w:t>
            </w:r>
          </w:p>
        </w:tc>
      </w:tr>
      <w:tr>
        <w:tblPrEx>
          <w:tblCellMar>
            <w:top w:w="0" w:type="dxa"/>
            <w:left w:w="108" w:type="dxa"/>
            <w:bottom w:w="0" w:type="dxa"/>
            <w:right w:w="108" w:type="dxa"/>
          </w:tblCellMar>
        </w:tblPrEx>
        <w:trPr>
          <w:gridBefore w:val="1"/>
          <w:gridAfter w:val="3"/>
          <w:wBefore w:w="563" w:type="dxa"/>
          <w:wAfter w:w="7011" w:type="dxa"/>
          <w:trHeight w:val="870" w:hRule="atLeast"/>
        </w:trPr>
        <w:tc>
          <w:tcPr>
            <w:tcW w:w="1640"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主管部门</w:t>
            </w:r>
          </w:p>
        </w:tc>
        <w:tc>
          <w:tcPr>
            <w:tcW w:w="426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凉山州科学技术协会部门</w:t>
            </w:r>
          </w:p>
        </w:tc>
        <w:tc>
          <w:tcPr>
            <w:tcW w:w="687" w:type="dxa"/>
            <w:gridSpan w:val="2"/>
            <w:vAlign w:val="center"/>
          </w:tcPr>
          <w:p>
            <w:pPr>
              <w:widowControl/>
              <w:spacing w:line="240" w:lineRule="exact"/>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实施单位 （盖章）</w:t>
            </w:r>
          </w:p>
        </w:tc>
        <w:tc>
          <w:tcPr>
            <w:tcW w:w="2963"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Before w:val="1"/>
          <w:gridAfter w:val="3"/>
          <w:wBefore w:w="563" w:type="dxa"/>
          <w:wAfter w:w="7011" w:type="dxa"/>
          <w:trHeight w:val="227" w:hRule="atLeast"/>
        </w:trPr>
        <w:tc>
          <w:tcPr>
            <w:tcW w:w="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项目基本情况</w:t>
            </w:r>
          </w:p>
        </w:tc>
        <w:tc>
          <w:tcPr>
            <w:tcW w:w="83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5"/>
                <w:szCs w:val="15"/>
              </w:rPr>
              <w:t>1.项目年度目标完成情况</w:t>
            </w:r>
          </w:p>
        </w:tc>
        <w:tc>
          <w:tcPr>
            <w:tcW w:w="426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5"/>
                <w:szCs w:val="15"/>
              </w:rPr>
              <w:t>项目年度目标</w:t>
            </w:r>
          </w:p>
        </w:tc>
        <w:tc>
          <w:tcPr>
            <w:tcW w:w="3650"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5"/>
                <w:szCs w:val="15"/>
              </w:rPr>
              <w:t>年度目标完成情况</w:t>
            </w:r>
          </w:p>
        </w:tc>
      </w:tr>
      <w:tr>
        <w:tblPrEx>
          <w:tblCellMar>
            <w:top w:w="0" w:type="dxa"/>
            <w:left w:w="108" w:type="dxa"/>
            <w:bottom w:w="0" w:type="dxa"/>
            <w:right w:w="108" w:type="dxa"/>
          </w:tblCellMar>
        </w:tblPrEx>
        <w:trPr>
          <w:gridBefore w:val="1"/>
          <w:gridAfter w:val="3"/>
          <w:wBefore w:w="563" w:type="dxa"/>
          <w:wAfter w:w="7011" w:type="dxa"/>
          <w:trHeight w:val="1412"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426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after="180" w:line="180" w:lineRule="exact"/>
              <w:jc w:val="left"/>
              <w:textAlignment w:val="center"/>
              <w:rPr>
                <w:rFonts w:ascii="宋体" w:hAnsi="宋体" w:cs="宋体"/>
                <w:color w:val="000000"/>
                <w:sz w:val="15"/>
                <w:szCs w:val="15"/>
              </w:rPr>
            </w:pPr>
            <w:r>
              <w:rPr>
                <w:rFonts w:hint="eastAsia" w:ascii="宋体" w:hAnsi="宋体" w:cs="宋体"/>
                <w:color w:val="000000"/>
                <w:kern w:val="0"/>
                <w:sz w:val="15"/>
                <w:szCs w:val="15"/>
              </w:rPr>
              <w:t>该项目围绕习近平总书记对中国老科协重要批示“老有所为，积极作为”进行农村科普和城市科普活动，青少年科技教育活动，提升全民科学素质，对离退休老专家开展敬老月各项活动，进行党总支和党支部建设的各项活动，结合乡村振兴工作开展世界首创彩色花油菜示范种植，联手省老科协实施ESS（美国科技教育协会）资助贫困生，开展各类培训，科普宣传，科技咨询,健康义诊,在中学举办科技讲座，争取在越西、喜德、会东、会理、德昌、冕宁、普格等县调研建立老科协组织等工作。</w:t>
            </w:r>
          </w:p>
        </w:tc>
        <w:tc>
          <w:tcPr>
            <w:tcW w:w="3650"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rPr>
              <w:t>年度完成了进行农村科普和城市科普活动，青少年科技教育活动，提升全民科学素质，对离退休老专家开展敬老月各项活动，进行党总支和党支部建设的各项活动，结合乡村振兴工作开展世界首创彩色花油菜示范种植，联手省老科协实施ESS（美国科技教育协会）资助贫困生，开展各类培训，科普宣传，科技咨询,健康义诊,在中学举办科技讲座，争取在越西、喜德、会东、会理、德昌、冕宁、普格等县调研建立老科协组织等工作。</w:t>
            </w:r>
          </w:p>
        </w:tc>
      </w:tr>
      <w:tr>
        <w:tblPrEx>
          <w:tblCellMar>
            <w:top w:w="0" w:type="dxa"/>
            <w:left w:w="108" w:type="dxa"/>
            <w:bottom w:w="0" w:type="dxa"/>
            <w:right w:w="108" w:type="dxa"/>
          </w:tblCellMar>
        </w:tblPrEx>
        <w:trPr>
          <w:gridBefore w:val="1"/>
          <w:gridAfter w:val="3"/>
          <w:wBefore w:w="563" w:type="dxa"/>
          <w:wAfter w:w="7011" w:type="dxa"/>
          <w:trHeight w:val="675"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ascii="宋体" w:hAnsi="宋体" w:cs="宋体"/>
                <w:color w:val="000000"/>
                <w:sz w:val="15"/>
                <w:szCs w:val="15"/>
              </w:rPr>
            </w:pPr>
            <w:r>
              <w:rPr>
                <w:rFonts w:hint="eastAsia" w:ascii="宋体" w:hAnsi="宋体" w:cs="宋体"/>
                <w:color w:val="000000"/>
                <w:kern w:val="0"/>
                <w:sz w:val="15"/>
                <w:szCs w:val="15"/>
              </w:rPr>
              <w:t>2.项目实施内容及过程概述</w:t>
            </w:r>
          </w:p>
        </w:tc>
        <w:tc>
          <w:tcPr>
            <w:tcW w:w="7910" w:type="dxa"/>
            <w:gridSpan w:val="20"/>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ascii="宋体" w:hAnsi="宋体" w:cs="宋体"/>
                <w:color w:val="000000"/>
                <w:sz w:val="15"/>
                <w:szCs w:val="15"/>
              </w:rPr>
            </w:pPr>
            <w:r>
              <w:rPr>
                <w:rFonts w:hint="eastAsia" w:ascii="宋体" w:hAnsi="宋体" w:cs="宋体"/>
                <w:color w:val="000000"/>
                <w:kern w:val="0"/>
                <w:sz w:val="15"/>
                <w:szCs w:val="15"/>
              </w:rPr>
              <w:t>年度开展了农村科普和城市科普活动，青少年科技教育活动，提升全民科学素质，对离退休老专家开展敬老月各项活动，进行党总支和党支部建设的各项活动，结合乡村振兴工作开展世界首创彩色花油菜示范种植，联手省老科协实施ESS（美国科技教育协会）资助贫困生，先后举办了核桃、柴胡、桑树、芒果等果树种植及防治虫害，猪牛羊养殖等科技培训班16期，完成了调研越西、喜德、会东、会理、德昌、冕宁、普格等县建立老科协组织事宜，积极参与新冠疫情防控、森林防灭火等工作。</w:t>
            </w:r>
          </w:p>
        </w:tc>
      </w:tr>
      <w:tr>
        <w:tblPrEx>
          <w:tblCellMar>
            <w:top w:w="0" w:type="dxa"/>
            <w:left w:w="108" w:type="dxa"/>
            <w:bottom w:w="0" w:type="dxa"/>
            <w:right w:w="108" w:type="dxa"/>
          </w:tblCellMar>
        </w:tblPrEx>
        <w:trPr>
          <w:gridBefore w:val="1"/>
          <w:gridAfter w:val="3"/>
          <w:wBefore w:w="563" w:type="dxa"/>
          <w:wAfter w:w="7011" w:type="dxa"/>
          <w:trHeight w:val="372" w:hRule="atLeast"/>
        </w:trPr>
        <w:tc>
          <w:tcPr>
            <w:tcW w:w="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预算执行情况（10分）</w:t>
            </w: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年度预算数（万元）</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年初预算</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调整后预算数</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预算执行数</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预算执行率</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权重</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得分</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原因</w:t>
            </w:r>
          </w:p>
        </w:tc>
      </w:tr>
      <w:tr>
        <w:tblPrEx>
          <w:tblCellMar>
            <w:top w:w="0" w:type="dxa"/>
            <w:left w:w="108" w:type="dxa"/>
            <w:bottom w:w="0" w:type="dxa"/>
            <w:right w:w="108" w:type="dxa"/>
          </w:tblCellMar>
        </w:tblPrEx>
        <w:trPr>
          <w:gridBefore w:val="1"/>
          <w:gridAfter w:val="3"/>
          <w:wBefore w:w="563" w:type="dxa"/>
          <w:wAfter w:w="7011" w:type="dxa"/>
          <w:trHeight w:val="238"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总额</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100.00%</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41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left"/>
              <w:textAlignment w:val="center"/>
              <w:rPr>
                <w:rFonts w:ascii="黑体" w:hAnsi="宋体" w:eastAsia="黑体" w:cs="黑体"/>
                <w:i/>
                <w:iCs/>
                <w:color w:val="000000"/>
                <w:sz w:val="15"/>
                <w:szCs w:val="15"/>
              </w:rPr>
            </w:pPr>
            <w:r>
              <w:rPr>
                <w:rFonts w:hint="eastAsia" w:ascii="黑体" w:hAnsi="宋体" w:eastAsia="黑体" w:cs="黑体"/>
                <w:i/>
                <w:iCs/>
                <w:color w:val="000000"/>
                <w:kern w:val="0"/>
                <w:sz w:val="15"/>
                <w:szCs w:val="15"/>
              </w:rPr>
              <w:t>预算执行率100%，执行情况良好。</w:t>
            </w:r>
          </w:p>
        </w:tc>
      </w:tr>
      <w:tr>
        <w:tblPrEx>
          <w:tblCellMar>
            <w:top w:w="0" w:type="dxa"/>
            <w:left w:w="108" w:type="dxa"/>
            <w:bottom w:w="0" w:type="dxa"/>
            <w:right w:w="108" w:type="dxa"/>
          </w:tblCellMar>
        </w:tblPrEx>
        <w:trPr>
          <w:gridBefore w:val="1"/>
          <w:gridAfter w:val="3"/>
          <w:wBefore w:w="563" w:type="dxa"/>
          <w:wAfter w:w="7011" w:type="dxa"/>
          <w:trHeight w:val="282"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其中：财政资金</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12.00</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100.00%</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41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r>
      <w:tr>
        <w:tblPrEx>
          <w:tblCellMar>
            <w:top w:w="0" w:type="dxa"/>
            <w:left w:w="108" w:type="dxa"/>
            <w:bottom w:w="0" w:type="dxa"/>
            <w:right w:w="108" w:type="dxa"/>
          </w:tblCellMar>
        </w:tblPrEx>
        <w:trPr>
          <w:gridBefore w:val="1"/>
          <w:gridAfter w:val="3"/>
          <w:wBefore w:w="563" w:type="dxa"/>
          <w:wAfter w:w="7011" w:type="dxa"/>
          <w:trHeight w:val="283"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财政专户管理资金</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41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r>
      <w:tr>
        <w:tblPrEx>
          <w:tblCellMar>
            <w:top w:w="0" w:type="dxa"/>
            <w:left w:w="108" w:type="dxa"/>
            <w:bottom w:w="0" w:type="dxa"/>
            <w:right w:w="108" w:type="dxa"/>
          </w:tblCellMar>
        </w:tblPrEx>
        <w:trPr>
          <w:gridBefore w:val="1"/>
          <w:gridAfter w:val="3"/>
          <w:wBefore w:w="563" w:type="dxa"/>
          <w:wAfter w:w="7011" w:type="dxa"/>
          <w:trHeight w:val="172"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单位资金</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0.00%</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41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r>
      <w:tr>
        <w:tblPrEx>
          <w:tblCellMar>
            <w:top w:w="0" w:type="dxa"/>
            <w:left w:w="108" w:type="dxa"/>
            <w:bottom w:w="0" w:type="dxa"/>
            <w:right w:w="108" w:type="dxa"/>
          </w:tblCellMar>
        </w:tblPrEx>
        <w:trPr>
          <w:gridBefore w:val="1"/>
          <w:gridAfter w:val="3"/>
          <w:wBefore w:w="563" w:type="dxa"/>
          <w:wAfter w:w="7011" w:type="dxa"/>
          <w:trHeight w:val="189"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其他资金</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微软雅黑" w:hAnsi="微软雅黑" w:eastAsia="微软雅黑" w:cs="微软雅黑"/>
                <w:i/>
                <w:iCs/>
                <w:color w:val="000000"/>
                <w:sz w:val="15"/>
                <w:szCs w:val="15"/>
              </w:rPr>
            </w:pP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微软雅黑" w:hAnsi="微软雅黑" w:eastAsia="微软雅黑" w:cs="微软雅黑"/>
                <w:i/>
                <w:iCs/>
                <w:color w:val="000000"/>
                <w:sz w:val="15"/>
                <w:szCs w:val="15"/>
              </w:rPr>
            </w:pPr>
          </w:p>
        </w:tc>
        <w:tc>
          <w:tcPr>
            <w:tcW w:w="8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微软雅黑" w:hAnsi="微软雅黑" w:eastAsia="微软雅黑" w:cs="微软雅黑"/>
                <w:i/>
                <w:iCs/>
                <w:color w:val="000000"/>
                <w:sz w:val="15"/>
                <w:szCs w:val="15"/>
              </w:rPr>
            </w:pP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微软雅黑" w:hAnsi="微软雅黑" w:eastAsia="微软雅黑" w:cs="微软雅黑"/>
                <w:i/>
                <w:iCs/>
                <w:color w:val="000000"/>
                <w:sz w:val="15"/>
                <w:szCs w:val="15"/>
              </w:rPr>
            </w:pP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141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r>
      <w:tr>
        <w:tblPrEx>
          <w:tblCellMar>
            <w:top w:w="0" w:type="dxa"/>
            <w:left w:w="108" w:type="dxa"/>
            <w:bottom w:w="0" w:type="dxa"/>
            <w:right w:w="108" w:type="dxa"/>
          </w:tblCellMar>
        </w:tblPrEx>
        <w:trPr>
          <w:gridBefore w:val="1"/>
          <w:gridAfter w:val="3"/>
          <w:wBefore w:w="563" w:type="dxa"/>
          <w:wAfter w:w="7011" w:type="dxa"/>
          <w:trHeight w:val="580" w:hRule="atLeast"/>
        </w:trPr>
        <w:tc>
          <w:tcPr>
            <w:tcW w:w="8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绩效指标（90分）</w:t>
            </w: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一级指标</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二级指标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三级指标</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指标性质</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指标值</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度量单位</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完成值</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权重</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得分</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未完成原因分析</w:t>
            </w:r>
          </w:p>
        </w:tc>
      </w:tr>
      <w:tr>
        <w:tblPrEx>
          <w:tblCellMar>
            <w:top w:w="0" w:type="dxa"/>
            <w:left w:w="108" w:type="dxa"/>
            <w:bottom w:w="0" w:type="dxa"/>
            <w:right w:w="108" w:type="dxa"/>
          </w:tblCellMar>
        </w:tblPrEx>
        <w:trPr>
          <w:gridBefore w:val="1"/>
          <w:gridAfter w:val="3"/>
          <w:wBefore w:w="563" w:type="dxa"/>
          <w:wAfter w:w="7011" w:type="dxa"/>
          <w:trHeight w:val="328"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产出指标</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数量指标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补助一项/年工作经费</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项</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215"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质量指标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工作完成合格率</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96</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96</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290"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时效指标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2022年1-12月前</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年</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247"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成本指标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补助工作经费12万元/年</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12</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万元</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12</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358"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 w:val="15"/>
                <w:szCs w:val="15"/>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效果指标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高效圆满完成州科协委托的各项工作任务</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6</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项</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6</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679"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效益指标</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社会效益指标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hint="eastAsia" w:ascii="宋体" w:hAnsi="宋体" w:cs="宋体"/>
                <w:color w:val="000000"/>
                <w:kern w:val="0"/>
                <w:sz w:val="15"/>
                <w:szCs w:val="15"/>
              </w:rPr>
              <w:t>发挥老科技工作者长期积累的科技知识所长，继续为科普宣传、党建工作、乡村振兴等服务。</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3</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群次</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3</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1"/>
          <w:gridAfter w:val="3"/>
          <w:wBefore w:w="563" w:type="dxa"/>
          <w:wAfter w:w="7011" w:type="dxa"/>
          <w:trHeight w:val="635" w:hRule="atLeast"/>
        </w:trPr>
        <w:tc>
          <w:tcPr>
            <w:tcW w:w="8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Calibri" w:hAnsi="Calibri"/>
                <w:szCs w:val="22"/>
              </w:rPr>
            </w:pPr>
          </w:p>
        </w:tc>
        <w:tc>
          <w:tcPr>
            <w:tcW w:w="83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满意度指标</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服务对象满意度指标</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宋体" w:hAnsi="宋体" w:cs="宋体"/>
                <w:color w:val="000000"/>
                <w:sz w:val="15"/>
                <w:szCs w:val="15"/>
              </w:rPr>
            </w:pPr>
            <w:r>
              <w:rPr>
                <w:rFonts w:hint="eastAsia" w:ascii="宋体" w:hAnsi="宋体" w:cs="宋体"/>
                <w:color w:val="000000"/>
                <w:kern w:val="0"/>
                <w:sz w:val="15"/>
                <w:szCs w:val="15"/>
              </w:rPr>
              <w:t>各社会群体及州科协领导满意度可达95%左右。</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2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95</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95</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2</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经费投入有限、部分工作深入开展受限。扣分2分。</w:t>
            </w:r>
          </w:p>
        </w:tc>
      </w:tr>
      <w:tr>
        <w:tblPrEx>
          <w:tblCellMar>
            <w:top w:w="0" w:type="dxa"/>
            <w:left w:w="108" w:type="dxa"/>
            <w:bottom w:w="0" w:type="dxa"/>
            <w:right w:w="108" w:type="dxa"/>
          </w:tblCellMar>
        </w:tblPrEx>
        <w:trPr>
          <w:gridBefore w:val="1"/>
          <w:gridAfter w:val="3"/>
          <w:wBefore w:w="563" w:type="dxa"/>
          <w:wAfter w:w="7011" w:type="dxa"/>
          <w:trHeight w:val="225" w:hRule="atLeast"/>
        </w:trPr>
        <w:tc>
          <w:tcPr>
            <w:tcW w:w="6587"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合计</w:t>
            </w:r>
          </w:p>
        </w:tc>
        <w:tc>
          <w:tcPr>
            <w:tcW w:w="6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rPr>
              <w:t>100</w:t>
            </w:r>
          </w:p>
        </w:tc>
        <w:tc>
          <w:tcPr>
            <w:tcW w:w="88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ascii="宋体" w:hAnsi="宋体" w:cs="宋体"/>
                <w:color w:val="000000"/>
                <w:sz w:val="15"/>
                <w:szCs w:val="15"/>
              </w:rPr>
            </w:pPr>
            <w:r>
              <w:rPr>
                <w:rFonts w:hint="eastAsia" w:ascii="宋体" w:hAnsi="宋体" w:cs="宋体"/>
                <w:color w:val="000000"/>
                <w:kern w:val="0"/>
                <w:sz w:val="15"/>
                <w:szCs w:val="15"/>
              </w:rPr>
              <w:t>98</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sz w:val="15"/>
                <w:szCs w:val="15"/>
              </w:rPr>
            </w:pPr>
          </w:p>
        </w:tc>
      </w:tr>
      <w:tr>
        <w:tblPrEx>
          <w:tblCellMar>
            <w:top w:w="0" w:type="dxa"/>
            <w:left w:w="108" w:type="dxa"/>
            <w:bottom w:w="0" w:type="dxa"/>
            <w:right w:w="108" w:type="dxa"/>
          </w:tblCellMar>
        </w:tblPrEx>
        <w:trPr>
          <w:gridBefore w:val="1"/>
          <w:gridAfter w:val="3"/>
          <w:wBefore w:w="563" w:type="dxa"/>
          <w:wAfter w:w="7011" w:type="dxa"/>
          <w:trHeight w:val="814" w:hRule="atLeast"/>
        </w:trPr>
        <w:tc>
          <w:tcPr>
            <w:tcW w:w="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评价结论</w:t>
            </w:r>
          </w:p>
        </w:tc>
        <w:tc>
          <w:tcPr>
            <w:tcW w:w="8741"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年度开展了农村科普和城市科普活动，结合乡村振兴工作开展世界首创彩色花油菜示范种植，联手省老科协实施ESS（美国科技教育协会）资助贫困生，先后举办了总养殖培训班16期，完成了调研县建立老科协组织事宜，积极参与新冠疫情防控、森林防灭火等工作。从产出、效益、满意度指标等进行了以上打分，预算执行率100%，执行情况良好，自评得分98分。</w:t>
            </w:r>
          </w:p>
        </w:tc>
      </w:tr>
      <w:tr>
        <w:tblPrEx>
          <w:tblCellMar>
            <w:top w:w="0" w:type="dxa"/>
            <w:left w:w="108" w:type="dxa"/>
            <w:bottom w:w="0" w:type="dxa"/>
            <w:right w:w="108" w:type="dxa"/>
          </w:tblCellMar>
        </w:tblPrEx>
        <w:trPr>
          <w:gridBefore w:val="1"/>
          <w:gridAfter w:val="3"/>
          <w:wBefore w:w="563" w:type="dxa"/>
          <w:wAfter w:w="7011" w:type="dxa"/>
          <w:trHeight w:val="345" w:hRule="atLeast"/>
        </w:trPr>
        <w:tc>
          <w:tcPr>
            <w:tcW w:w="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存在问题</w:t>
            </w:r>
          </w:p>
        </w:tc>
        <w:tc>
          <w:tcPr>
            <w:tcW w:w="8741"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经费投入有限、部分工作深入开展受限。</w:t>
            </w:r>
          </w:p>
        </w:tc>
      </w:tr>
      <w:tr>
        <w:tblPrEx>
          <w:tblCellMar>
            <w:top w:w="0" w:type="dxa"/>
            <w:left w:w="108" w:type="dxa"/>
            <w:bottom w:w="0" w:type="dxa"/>
            <w:right w:w="108" w:type="dxa"/>
          </w:tblCellMar>
        </w:tblPrEx>
        <w:trPr>
          <w:gridBefore w:val="1"/>
          <w:gridAfter w:val="3"/>
          <w:wBefore w:w="563" w:type="dxa"/>
          <w:wAfter w:w="7011" w:type="dxa"/>
          <w:trHeight w:val="542" w:hRule="atLeast"/>
        </w:trPr>
        <w:tc>
          <w:tcPr>
            <w:tcW w:w="8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改进措施</w:t>
            </w:r>
          </w:p>
        </w:tc>
        <w:tc>
          <w:tcPr>
            <w:tcW w:w="8741"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协调主管部门、争取增加科普资金，深入开展工作。</w:t>
            </w:r>
          </w:p>
        </w:tc>
      </w:tr>
      <w:tr>
        <w:tblPrEx>
          <w:tblCellMar>
            <w:top w:w="0" w:type="dxa"/>
            <w:left w:w="108" w:type="dxa"/>
            <w:bottom w:w="0" w:type="dxa"/>
            <w:right w:w="108" w:type="dxa"/>
          </w:tblCellMar>
        </w:tblPrEx>
        <w:trPr>
          <w:gridBefore w:val="1"/>
          <w:gridAfter w:val="3"/>
          <w:wBefore w:w="563" w:type="dxa"/>
          <w:wAfter w:w="7011" w:type="dxa"/>
          <w:trHeight w:val="378" w:hRule="atLeast"/>
        </w:trPr>
        <w:tc>
          <w:tcPr>
            <w:tcW w:w="5637"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项目负责人：黄发元</w:t>
            </w:r>
          </w:p>
        </w:tc>
        <w:tc>
          <w:tcPr>
            <w:tcW w:w="3913"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财务负责人：毛正华</w:t>
            </w:r>
          </w:p>
        </w:tc>
      </w:tr>
    </w:tbl>
    <w:p/>
    <w:tbl>
      <w:tblPr>
        <w:tblStyle w:val="18"/>
        <w:tblW w:w="10800" w:type="dxa"/>
        <w:tblInd w:w="-1107" w:type="dxa"/>
        <w:tblLayout w:type="fixed"/>
        <w:tblCellMar>
          <w:top w:w="0" w:type="dxa"/>
          <w:left w:w="108" w:type="dxa"/>
          <w:bottom w:w="0" w:type="dxa"/>
          <w:right w:w="108" w:type="dxa"/>
        </w:tblCellMar>
      </w:tblPr>
      <w:tblGrid>
        <w:gridCol w:w="778"/>
        <w:gridCol w:w="32"/>
        <w:gridCol w:w="387"/>
        <w:gridCol w:w="287"/>
        <w:gridCol w:w="289"/>
        <w:gridCol w:w="23"/>
        <w:gridCol w:w="667"/>
        <w:gridCol w:w="75"/>
        <w:gridCol w:w="21"/>
        <w:gridCol w:w="191"/>
        <w:gridCol w:w="391"/>
        <w:gridCol w:w="216"/>
        <w:gridCol w:w="8"/>
        <w:gridCol w:w="139"/>
        <w:gridCol w:w="1452"/>
        <w:gridCol w:w="419"/>
        <w:gridCol w:w="15"/>
        <w:gridCol w:w="118"/>
        <w:gridCol w:w="275"/>
        <w:gridCol w:w="138"/>
        <w:gridCol w:w="21"/>
        <w:gridCol w:w="237"/>
        <w:gridCol w:w="27"/>
        <w:gridCol w:w="200"/>
        <w:gridCol w:w="27"/>
        <w:gridCol w:w="17"/>
        <w:gridCol w:w="215"/>
        <w:gridCol w:w="308"/>
        <w:gridCol w:w="19"/>
        <w:gridCol w:w="213"/>
        <w:gridCol w:w="88"/>
        <w:gridCol w:w="128"/>
        <w:gridCol w:w="288"/>
        <w:gridCol w:w="5"/>
        <w:gridCol w:w="48"/>
        <w:gridCol w:w="183"/>
        <w:gridCol w:w="238"/>
        <w:gridCol w:w="56"/>
        <w:gridCol w:w="28"/>
        <w:gridCol w:w="9"/>
        <w:gridCol w:w="477"/>
        <w:gridCol w:w="111"/>
        <w:gridCol w:w="375"/>
        <w:gridCol w:w="50"/>
        <w:gridCol w:w="1069"/>
        <w:gridCol w:w="218"/>
        <w:gridCol w:w="82"/>
        <w:gridCol w:w="13"/>
        <w:gridCol w:w="129"/>
      </w:tblGrid>
      <w:tr>
        <w:tblPrEx>
          <w:tblCellMar>
            <w:top w:w="0" w:type="dxa"/>
            <w:left w:w="108" w:type="dxa"/>
            <w:bottom w:w="0" w:type="dxa"/>
            <w:right w:w="108" w:type="dxa"/>
          </w:tblCellMar>
        </w:tblPrEx>
        <w:trPr>
          <w:gridBefore w:val="2"/>
          <w:gridAfter w:val="2"/>
          <w:wBefore w:w="810" w:type="dxa"/>
          <w:wAfter w:w="142" w:type="dxa"/>
          <w:trHeight w:val="500" w:hRule="atLeast"/>
        </w:trPr>
        <w:tc>
          <w:tcPr>
            <w:tcW w:w="9848" w:type="dxa"/>
            <w:gridSpan w:val="4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Before w:val="2"/>
          <w:gridAfter w:val="2"/>
          <w:wBefore w:w="810" w:type="dxa"/>
          <w:wAfter w:w="142" w:type="dxa"/>
          <w:trHeight w:val="266" w:hRule="atLeast"/>
        </w:trPr>
        <w:tc>
          <w:tcPr>
            <w:tcW w:w="174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99" w:type="dxa"/>
            <w:gridSpan w:val="3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51340022T000000278904-科普宣传活动业务经费</w:t>
            </w:r>
          </w:p>
        </w:tc>
      </w:tr>
      <w:tr>
        <w:tblPrEx>
          <w:tblCellMar>
            <w:top w:w="0" w:type="dxa"/>
            <w:left w:w="108" w:type="dxa"/>
            <w:bottom w:w="0" w:type="dxa"/>
            <w:right w:w="108" w:type="dxa"/>
          </w:tblCellMar>
        </w:tblPrEx>
        <w:trPr>
          <w:gridBefore w:val="2"/>
          <w:gridAfter w:val="2"/>
          <w:wBefore w:w="810" w:type="dxa"/>
          <w:wAfter w:w="142" w:type="dxa"/>
          <w:trHeight w:val="487" w:hRule="atLeast"/>
        </w:trPr>
        <w:tc>
          <w:tcPr>
            <w:tcW w:w="174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874"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772" w:type="dxa"/>
            <w:gridSpan w:val="5"/>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453"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Before w:val="2"/>
          <w:gridAfter w:val="2"/>
          <w:wBefore w:w="810" w:type="dxa"/>
          <w:wAfter w:w="142" w:type="dxa"/>
          <w:trHeight w:val="138" w:hRule="atLeast"/>
        </w:trPr>
        <w:tc>
          <w:tcPr>
            <w:tcW w:w="67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75"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874"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225"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Before w:val="2"/>
          <w:gridAfter w:val="2"/>
          <w:wBefore w:w="810" w:type="dxa"/>
          <w:wAfter w:w="142" w:type="dxa"/>
          <w:trHeight w:val="668"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7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3874"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组织30名左右优秀青少年科学爱好者参加科学研学活动，培养他们崇尚科学，勇于创新的爱好和能力，起到辐射引领的作用。</w:t>
            </w:r>
          </w:p>
        </w:tc>
        <w:tc>
          <w:tcPr>
            <w:tcW w:w="4225"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年度完成了组织30名左右优秀青少年科学爱好者参加科学研学活动，培养他们崇尚科学，勇于创新的爱好和能力，起到辐射引领的作用。</w:t>
            </w:r>
          </w:p>
        </w:tc>
      </w:tr>
      <w:tr>
        <w:tblPrEx>
          <w:tblCellMar>
            <w:top w:w="0" w:type="dxa"/>
            <w:left w:w="108" w:type="dxa"/>
            <w:bottom w:w="0" w:type="dxa"/>
            <w:right w:w="108" w:type="dxa"/>
          </w:tblCellMar>
        </w:tblPrEx>
        <w:trPr>
          <w:gridBefore w:val="2"/>
          <w:gridAfter w:val="2"/>
          <w:wBefore w:w="810" w:type="dxa"/>
          <w:wAfter w:w="142" w:type="dxa"/>
          <w:trHeight w:val="1037"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99" w:type="dxa"/>
            <w:gridSpan w:val="3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从凉山州第37届科创大赛的获奖选手中，挑选了33名优秀选手，于2022年8月18日至22日赴成都开展以“探索科技，点亮梦想”为主题的科学研学活动。在为期一周的研学活动中，学生们先后到川大、西南交大、中科院成都分院、国家信息中心大数据创新创业基地等重点高校和科研院所，对数学、信息技术、航空等知识进行了探究式学习，到三星堆、川菜博物馆、同治龙 窑等基地，了解悠久璀璨的中华文明，探究传统技艺与现代科技的创新融合。该活动对开阔青少年科学视野、激发科学兴趣、树立科学理想以及培养创新后备人才等方面起到了积极有效的促进作用。</w:t>
            </w:r>
          </w:p>
        </w:tc>
      </w:tr>
      <w:tr>
        <w:tblPrEx>
          <w:tblCellMar>
            <w:top w:w="0" w:type="dxa"/>
            <w:left w:w="108" w:type="dxa"/>
            <w:bottom w:w="0" w:type="dxa"/>
            <w:right w:w="108" w:type="dxa"/>
          </w:tblCellMar>
        </w:tblPrEx>
        <w:trPr>
          <w:gridBefore w:val="2"/>
          <w:gridAfter w:val="2"/>
          <w:wBefore w:w="810" w:type="dxa"/>
          <w:wAfter w:w="142" w:type="dxa"/>
          <w:trHeight w:val="520" w:hRule="atLeast"/>
        </w:trPr>
        <w:tc>
          <w:tcPr>
            <w:tcW w:w="67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475"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Before w:val="2"/>
          <w:gridAfter w:val="2"/>
          <w:wBefore w:w="810" w:type="dxa"/>
          <w:wAfter w:w="142" w:type="dxa"/>
          <w:trHeight w:val="320"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75" w:type="dxa"/>
            <w:gridSpan w:val="10"/>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预算执行率100%，执行情况良好。</w:t>
            </w:r>
          </w:p>
        </w:tc>
      </w:tr>
      <w:tr>
        <w:tblPrEx>
          <w:tblCellMar>
            <w:top w:w="0" w:type="dxa"/>
            <w:left w:w="108" w:type="dxa"/>
            <w:bottom w:w="0" w:type="dxa"/>
            <w:right w:w="108" w:type="dxa"/>
          </w:tblCellMar>
        </w:tblPrEx>
        <w:trPr>
          <w:gridBefore w:val="2"/>
          <w:gridAfter w:val="2"/>
          <w:wBefore w:w="810" w:type="dxa"/>
          <w:wAfter w:w="142" w:type="dxa"/>
          <w:trHeight w:val="380"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gridSpan w:val="10"/>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2"/>
          <w:gridAfter w:val="2"/>
          <w:wBefore w:w="810" w:type="dxa"/>
          <w:wAfter w:w="142" w:type="dxa"/>
          <w:trHeight w:val="400"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gridSpan w:val="10"/>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2"/>
          <w:gridAfter w:val="2"/>
          <w:wBefore w:w="810" w:type="dxa"/>
          <w:wAfter w:w="142" w:type="dxa"/>
          <w:trHeight w:val="255"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gridSpan w:val="10"/>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2"/>
          <w:gridAfter w:val="2"/>
          <w:wBefore w:w="810" w:type="dxa"/>
          <w:wAfter w:w="142" w:type="dxa"/>
          <w:trHeight w:val="379"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477" w:type="dxa"/>
            <w:gridSpan w:val="10"/>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gridSpan w:val="10"/>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2"/>
          <w:gridAfter w:val="1"/>
          <w:wBefore w:w="810" w:type="dxa"/>
          <w:wAfter w:w="129" w:type="dxa"/>
          <w:trHeight w:val="560" w:hRule="atLeast"/>
        </w:trPr>
        <w:tc>
          <w:tcPr>
            <w:tcW w:w="67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gridBefore w:val="2"/>
          <w:gridAfter w:val="1"/>
          <w:wBefore w:w="810" w:type="dxa"/>
          <w:wAfter w:w="129" w:type="dxa"/>
          <w:trHeight w:val="678"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名</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30</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2"/>
          <w:gridAfter w:val="1"/>
          <w:wBefore w:w="810" w:type="dxa"/>
          <w:wAfter w:w="129" w:type="dxa"/>
          <w:trHeight w:val="452"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组织一批优秀青少年科学爱好者参加科学研学活动</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批</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2"/>
          <w:gridAfter w:val="1"/>
          <w:wBefore w:w="810" w:type="dxa"/>
          <w:wAfter w:w="129" w:type="dxa"/>
          <w:trHeight w:val="339"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2022年1-12月前</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2"/>
          <w:gridAfter w:val="1"/>
          <w:wBefore w:w="810" w:type="dxa"/>
          <w:wAfter w:w="129" w:type="dxa"/>
          <w:trHeight w:val="678"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共计4000元/人*30人=12万元，委托第三方开展产研学服务。</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12</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2"/>
          <w:gridAfter w:val="1"/>
          <w:wBefore w:w="810" w:type="dxa"/>
          <w:wAfter w:w="129" w:type="dxa"/>
          <w:trHeight w:val="339"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项目完成率</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2"/>
          <w:gridAfter w:val="1"/>
          <w:wBefore w:w="810" w:type="dxa"/>
          <w:wAfter w:w="129" w:type="dxa"/>
          <w:trHeight w:val="800"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组织30名左右优秀青少年科学爱好者参加科学研学活动，培养他们崇尚科学，勇于创新的爱好和能力，起到辐射带动的作用。</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3</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经费所限受益面较窄，故扣1分。</w:t>
            </w:r>
          </w:p>
        </w:tc>
      </w:tr>
      <w:tr>
        <w:tblPrEx>
          <w:tblCellMar>
            <w:top w:w="0" w:type="dxa"/>
            <w:left w:w="108" w:type="dxa"/>
            <w:bottom w:w="0" w:type="dxa"/>
            <w:right w:w="108" w:type="dxa"/>
          </w:tblCellMar>
        </w:tblPrEx>
        <w:trPr>
          <w:gridBefore w:val="2"/>
          <w:gridAfter w:val="1"/>
          <w:wBefore w:w="810" w:type="dxa"/>
          <w:wAfter w:w="129" w:type="dxa"/>
          <w:trHeight w:val="600" w:hRule="atLeast"/>
        </w:trPr>
        <w:tc>
          <w:tcPr>
            <w:tcW w:w="67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7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5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参加活动青少年满意度95%以上</w:t>
            </w:r>
          </w:p>
        </w:tc>
        <w:tc>
          <w:tcPr>
            <w:tcW w:w="5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1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7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95</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48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研学课程应分学龄段设置有待优化，故扣2分。</w:t>
            </w:r>
          </w:p>
        </w:tc>
      </w:tr>
      <w:tr>
        <w:tblPrEx>
          <w:tblCellMar>
            <w:top w:w="0" w:type="dxa"/>
            <w:left w:w="108" w:type="dxa"/>
            <w:bottom w:w="0" w:type="dxa"/>
            <w:right w:w="108" w:type="dxa"/>
          </w:tblCellMar>
        </w:tblPrEx>
        <w:trPr>
          <w:gridBefore w:val="2"/>
          <w:gridAfter w:val="2"/>
          <w:wBefore w:w="810" w:type="dxa"/>
          <w:wAfter w:w="142" w:type="dxa"/>
          <w:trHeight w:val="286" w:hRule="atLeast"/>
        </w:trPr>
        <w:tc>
          <w:tcPr>
            <w:tcW w:w="6395" w:type="dxa"/>
            <w:gridSpan w:val="2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0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7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2475" w:type="dxa"/>
            <w:gridSpan w:val="10"/>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Before w:val="2"/>
          <w:gridAfter w:val="2"/>
          <w:wBefore w:w="810" w:type="dxa"/>
          <w:wAfter w:w="142" w:type="dxa"/>
          <w:trHeight w:val="660" w:hRule="atLeast"/>
        </w:trPr>
        <w:tc>
          <w:tcPr>
            <w:tcW w:w="67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174" w:type="dxa"/>
            <w:gridSpan w:val="4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从凉山州第37届科创大赛的获奖选手中，挑选了33名优秀选手，于2022年8月赴成都开展科学研学活动。通过学习学生们了解悠久璀璨的中华文明，探究传统技艺与现代科技的创新融合。该活动对开阔青少年科学视野、激发科学兴趣。从产出、效益、满意度指标等进行了以上打分，预算执行率100%，执行情况良好，自评得分97分。</w:t>
            </w:r>
          </w:p>
        </w:tc>
      </w:tr>
      <w:tr>
        <w:tblPrEx>
          <w:tblCellMar>
            <w:top w:w="0" w:type="dxa"/>
            <w:left w:w="108" w:type="dxa"/>
            <w:bottom w:w="0" w:type="dxa"/>
            <w:right w:w="108" w:type="dxa"/>
          </w:tblCellMar>
        </w:tblPrEx>
        <w:trPr>
          <w:gridBefore w:val="2"/>
          <w:gridAfter w:val="2"/>
          <w:wBefore w:w="810" w:type="dxa"/>
          <w:wAfter w:w="142" w:type="dxa"/>
          <w:trHeight w:val="572" w:hRule="atLeast"/>
        </w:trPr>
        <w:tc>
          <w:tcPr>
            <w:tcW w:w="67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174" w:type="dxa"/>
            <w:gridSpan w:val="4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一是由于经费有限，只能组织一等奖的选手参加活动，受益面较窄。二是由于参加活动的学生有小学生、有初高中学生，年龄层次和知识能力相差太大，部分研学课程难以满足所有学生的需求。以后再开展此类活动，应尽量分学龄段，同时对研学课程设置进行更加合理的优化。</w:t>
            </w:r>
          </w:p>
        </w:tc>
      </w:tr>
      <w:tr>
        <w:tblPrEx>
          <w:tblCellMar>
            <w:top w:w="0" w:type="dxa"/>
            <w:left w:w="108" w:type="dxa"/>
            <w:bottom w:w="0" w:type="dxa"/>
            <w:right w:w="108" w:type="dxa"/>
          </w:tblCellMar>
        </w:tblPrEx>
        <w:trPr>
          <w:gridBefore w:val="2"/>
          <w:gridAfter w:val="2"/>
          <w:wBefore w:w="810" w:type="dxa"/>
          <w:wAfter w:w="142" w:type="dxa"/>
          <w:trHeight w:val="500" w:hRule="atLeast"/>
        </w:trPr>
        <w:tc>
          <w:tcPr>
            <w:tcW w:w="174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099" w:type="dxa"/>
            <w:gridSpan w:val="3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青少年科学兴趣的培养和科学素质的提高，是实施科技强国的基础性工程，建议合理增加科普经费，用于开展青少年科技创新及科学普及活动。</w:t>
            </w:r>
          </w:p>
        </w:tc>
      </w:tr>
      <w:tr>
        <w:tblPrEx>
          <w:tblCellMar>
            <w:top w:w="0" w:type="dxa"/>
            <w:left w:w="108" w:type="dxa"/>
            <w:bottom w:w="0" w:type="dxa"/>
            <w:right w:w="108" w:type="dxa"/>
          </w:tblCellMar>
        </w:tblPrEx>
        <w:trPr>
          <w:gridBefore w:val="2"/>
          <w:gridAfter w:val="2"/>
          <w:wBefore w:w="810" w:type="dxa"/>
          <w:wAfter w:w="142" w:type="dxa"/>
          <w:trHeight w:val="396" w:hRule="atLeast"/>
        </w:trPr>
        <w:tc>
          <w:tcPr>
            <w:tcW w:w="4698"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项目负责人：吴朝兰</w:t>
            </w:r>
          </w:p>
        </w:tc>
        <w:tc>
          <w:tcPr>
            <w:tcW w:w="5150" w:type="dxa"/>
            <w:gridSpan w:val="2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gridBefore w:val="3"/>
          <w:gridAfter w:val="4"/>
          <w:wBefore w:w="1197" w:type="dxa"/>
          <w:wAfter w:w="442" w:type="dxa"/>
          <w:trHeight w:val="323" w:hRule="atLeast"/>
        </w:trPr>
        <w:tc>
          <w:tcPr>
            <w:tcW w:w="9161" w:type="dxa"/>
            <w:gridSpan w:val="4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Before w:val="3"/>
          <w:gridAfter w:val="4"/>
          <w:wBefore w:w="1197" w:type="dxa"/>
          <w:wAfter w:w="442" w:type="dxa"/>
          <w:trHeight w:val="323" w:hRule="atLeast"/>
        </w:trPr>
        <w:tc>
          <w:tcPr>
            <w:tcW w:w="1553"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608" w:type="dxa"/>
            <w:gridSpan w:val="3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51340022T000000278905-凉山州全民科学素质提升专项</w:t>
            </w:r>
          </w:p>
        </w:tc>
      </w:tr>
      <w:tr>
        <w:tblPrEx>
          <w:tblCellMar>
            <w:top w:w="0" w:type="dxa"/>
            <w:left w:w="108" w:type="dxa"/>
            <w:bottom w:w="0" w:type="dxa"/>
            <w:right w:w="108" w:type="dxa"/>
          </w:tblCellMar>
        </w:tblPrEx>
        <w:trPr>
          <w:gridBefore w:val="3"/>
          <w:gridAfter w:val="4"/>
          <w:wBefore w:w="1197" w:type="dxa"/>
          <w:wAfter w:w="442" w:type="dxa"/>
          <w:trHeight w:val="553" w:hRule="atLeast"/>
        </w:trPr>
        <w:tc>
          <w:tcPr>
            <w:tcW w:w="155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主管部门</w:t>
            </w:r>
          </w:p>
        </w:tc>
        <w:tc>
          <w:tcPr>
            <w:tcW w:w="4242"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凉山州科学技术协会部门</w:t>
            </w:r>
          </w:p>
        </w:tc>
        <w:tc>
          <w:tcPr>
            <w:tcW w:w="770" w:type="dxa"/>
            <w:gridSpan w:val="6"/>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实施单位 （盖章）</w:t>
            </w:r>
          </w:p>
        </w:tc>
        <w:tc>
          <w:tcPr>
            <w:tcW w:w="2596"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凉山州科学技术协会</w:t>
            </w:r>
          </w:p>
        </w:tc>
      </w:tr>
      <w:tr>
        <w:tblPrEx>
          <w:tblCellMar>
            <w:top w:w="0" w:type="dxa"/>
            <w:left w:w="108" w:type="dxa"/>
            <w:bottom w:w="0" w:type="dxa"/>
            <w:right w:w="108" w:type="dxa"/>
          </w:tblCellMar>
        </w:tblPrEx>
        <w:trPr>
          <w:gridBefore w:val="3"/>
          <w:gridAfter w:val="4"/>
          <w:wBefore w:w="1197" w:type="dxa"/>
          <w:wAfter w:w="442" w:type="dxa"/>
          <w:trHeight w:val="191" w:hRule="atLeast"/>
        </w:trPr>
        <w:tc>
          <w:tcPr>
            <w:tcW w:w="59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项目基本情况</w:t>
            </w:r>
          </w:p>
        </w:tc>
        <w:tc>
          <w:tcPr>
            <w:tcW w:w="954"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1.项目年度目标完成情况</w:t>
            </w:r>
          </w:p>
        </w:tc>
        <w:tc>
          <w:tcPr>
            <w:tcW w:w="4242"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项目年度目标</w:t>
            </w:r>
          </w:p>
        </w:tc>
        <w:tc>
          <w:tcPr>
            <w:tcW w:w="3366"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年度目标完成情况</w:t>
            </w:r>
          </w:p>
        </w:tc>
      </w:tr>
      <w:tr>
        <w:tblPrEx>
          <w:tblCellMar>
            <w:top w:w="0" w:type="dxa"/>
            <w:left w:w="108" w:type="dxa"/>
            <w:bottom w:w="0" w:type="dxa"/>
            <w:right w:w="108" w:type="dxa"/>
          </w:tblCellMar>
        </w:tblPrEx>
        <w:trPr>
          <w:gridBefore w:val="3"/>
          <w:gridAfter w:val="4"/>
          <w:wBefore w:w="1197" w:type="dxa"/>
          <w:wAfter w:w="442" w:type="dxa"/>
          <w:trHeight w:val="1277"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95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4242"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年度开展科学普及、素质调查等相关工作；</w:t>
            </w:r>
            <w:r>
              <w:rPr>
                <w:rFonts w:ascii="宋体" w:hAnsi="宋体" w:cs="宋体"/>
                <w:color w:val="000000"/>
                <w:kern w:val="0"/>
                <w:sz w:val="15"/>
                <w:szCs w:val="15"/>
              </w:rPr>
              <w:br w:type="textWrapping"/>
            </w:r>
            <w:r>
              <w:rPr>
                <w:rFonts w:ascii="宋体" w:hAnsi="宋体" w:cs="宋体"/>
                <w:color w:val="000000"/>
                <w:kern w:val="0"/>
                <w:sz w:val="15"/>
                <w:szCs w:val="15"/>
              </w:rPr>
              <w:t>开展科普“五进”活动：进机关、进乡村、进学校、进企事业、进社区；</w:t>
            </w:r>
            <w:r>
              <w:rPr>
                <w:rFonts w:ascii="宋体" w:hAnsi="宋体" w:cs="宋体"/>
                <w:color w:val="000000"/>
                <w:kern w:val="0"/>
                <w:sz w:val="15"/>
                <w:szCs w:val="15"/>
              </w:rPr>
              <w:br w:type="textWrapping"/>
            </w:r>
            <w:r>
              <w:rPr>
                <w:rFonts w:ascii="宋体" w:hAnsi="宋体" w:cs="宋体"/>
                <w:color w:val="000000"/>
                <w:kern w:val="0"/>
                <w:sz w:val="15"/>
                <w:szCs w:val="15"/>
              </w:rPr>
              <w:t>召开相关会议：布置开展科普、全民科学素质提升相关工作、总结调研事宜。</w:t>
            </w:r>
          </w:p>
        </w:tc>
        <w:tc>
          <w:tcPr>
            <w:tcW w:w="3366"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年度完成了开展科学普及、素质调查等相关工作；</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开展科普“五进”活动：进机关、进乡村、进学校、进企事业、进社区；</w:t>
            </w:r>
            <w:r>
              <w:rPr>
                <w:rFonts w:hint="eastAsia" w:ascii="黑体" w:hAnsi="黑体" w:eastAsia="黑体" w:cs="黑体"/>
                <w:color w:val="000000"/>
                <w:kern w:val="0"/>
                <w:sz w:val="15"/>
                <w:szCs w:val="15"/>
              </w:rPr>
              <w:br w:type="textWrapping"/>
            </w:r>
            <w:r>
              <w:rPr>
                <w:rFonts w:hint="eastAsia" w:ascii="黑体" w:hAnsi="黑体" w:eastAsia="黑体" w:cs="黑体"/>
                <w:color w:val="000000"/>
                <w:kern w:val="0"/>
                <w:sz w:val="15"/>
                <w:szCs w:val="15"/>
              </w:rPr>
              <w:t>召开相关会议：布置开展科普、全民科学素质提升相关工作、总结调研事宜。</w:t>
            </w:r>
          </w:p>
        </w:tc>
      </w:tr>
      <w:tr>
        <w:tblPrEx>
          <w:tblCellMar>
            <w:top w:w="0" w:type="dxa"/>
            <w:left w:w="108" w:type="dxa"/>
            <w:bottom w:w="0" w:type="dxa"/>
            <w:right w:w="108" w:type="dxa"/>
          </w:tblCellMar>
        </w:tblPrEx>
        <w:trPr>
          <w:gridBefore w:val="3"/>
          <w:gridAfter w:val="4"/>
          <w:wBefore w:w="1197" w:type="dxa"/>
          <w:wAfter w:w="442" w:type="dxa"/>
          <w:trHeight w:val="1096"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2.项目实施内容及过程概述</w:t>
            </w:r>
          </w:p>
        </w:tc>
        <w:tc>
          <w:tcPr>
            <w:tcW w:w="7608" w:type="dxa"/>
            <w:gridSpan w:val="3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开展形式多样的科普活动20余场次，发放科普宣传品共2万余份，受众30万余人。开展线上线下科普日活动，惠及17县市干群20万余人。开展“科普进乡村.大篷车进校园”活动，深入4个县（市）的10多个学校和社区（村）；开展科普表演、科普展示、科普讲座等丰富多彩的活动20余场次，投入经费10余万元，发放宣传单5万余份，行程400余公里，参加活动师生多达10万余人。科普集市20余场，为群众提供科普咨询、发放科普宣传单、提供科普展览、义诊等活动，惠及群众200万余人。“全国科普日读书行动”。传播科学思想，提升公民科学素质。</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预算执行情况（10分）</w:t>
            </w: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年度预算数（万元）</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年初预算</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调整后预算数</w:t>
            </w: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预算执行数</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预算执行率</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原因</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总额</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49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5"/>
                <w:szCs w:val="15"/>
              </w:rPr>
            </w:pPr>
            <w:r>
              <w:rPr>
                <w:rFonts w:hint="eastAsia" w:ascii="黑体" w:hAnsi="黑体" w:eastAsia="黑体" w:cs="黑体"/>
                <w:i/>
                <w:iCs/>
                <w:color w:val="000000"/>
                <w:kern w:val="0"/>
                <w:sz w:val="15"/>
                <w:szCs w:val="15"/>
              </w:rPr>
              <w:t>预算执行率100%，执行情况良好。</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其中：财政资金</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15.00</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49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财政专户管理资金</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49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gridBefore w:val="3"/>
          <w:gridAfter w:val="4"/>
          <w:wBefore w:w="1197" w:type="dxa"/>
          <w:wAfter w:w="442" w:type="dxa"/>
          <w:trHeight w:val="191"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单位资金</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49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gridBefore w:val="3"/>
          <w:gridAfter w:val="4"/>
          <w:wBefore w:w="1197" w:type="dxa"/>
          <w:wAfter w:w="442" w:type="dxa"/>
          <w:trHeight w:val="191"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其他资金</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1602" w:type="dxa"/>
            <w:gridSpan w:val="12"/>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494"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gridBefore w:val="3"/>
          <w:gridAfter w:val="4"/>
          <w:wBefore w:w="1197" w:type="dxa"/>
          <w:wAfter w:w="442" w:type="dxa"/>
          <w:trHeight w:val="734" w:hRule="atLeast"/>
        </w:trPr>
        <w:tc>
          <w:tcPr>
            <w:tcW w:w="59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绩效指标（90分）</w:t>
            </w: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一级指标</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二级指标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三级指标</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指标性质</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指标值</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度量单位</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完成值</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未完成原因分析</w:t>
            </w:r>
          </w:p>
        </w:tc>
      </w:tr>
      <w:tr>
        <w:tblPrEx>
          <w:tblCellMar>
            <w:top w:w="0" w:type="dxa"/>
            <w:left w:w="108" w:type="dxa"/>
            <w:bottom w:w="0" w:type="dxa"/>
            <w:right w:w="108" w:type="dxa"/>
          </w:tblCellMar>
        </w:tblPrEx>
        <w:trPr>
          <w:gridBefore w:val="3"/>
          <w:gridAfter w:val="4"/>
          <w:wBefore w:w="1197" w:type="dxa"/>
          <w:wAfter w:w="442" w:type="dxa"/>
          <w:trHeight w:val="915"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产出指标</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数量指标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年度内开展科学普及、素质调查等相关工作；开展科普“五进”活动；召开相关会议三项工作。</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3</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项</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3</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质量指标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各项工作单位考核合格率90%以上</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90</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90</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时效指标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2022年1-12月前</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eastAsia="宋体" w:cs="宋体"/>
                <w:color w:val="000000"/>
                <w:sz w:val="15"/>
                <w:szCs w:val="15"/>
                <w:lang w:eastAsia="zh-CN"/>
              </w:rPr>
            </w:pPr>
            <w:r>
              <w:rPr>
                <w:rFonts w:hint="eastAsia" w:ascii="宋体" w:hAnsi="宋体" w:cs="宋体"/>
                <w:color w:val="000000"/>
                <w:kern w:val="0"/>
                <w:sz w:val="15"/>
                <w:szCs w:val="15"/>
                <w:lang w:val="en-US" w:eastAsia="zh-CN"/>
              </w:rPr>
              <w:t>8</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资金支付前期较缓慢，扣</w:t>
            </w:r>
            <w:r>
              <w:rPr>
                <w:rFonts w:hint="eastAsia" w:ascii="微软雅黑" w:hAnsi="微软雅黑" w:eastAsia="微软雅黑" w:cs="微软雅黑"/>
                <w:i/>
                <w:iCs/>
                <w:color w:val="000000"/>
                <w:kern w:val="0"/>
                <w:sz w:val="15"/>
                <w:szCs w:val="15"/>
                <w:lang w:val="en-US" w:eastAsia="zh-CN"/>
              </w:rPr>
              <w:t>2分。</w:t>
            </w:r>
          </w:p>
        </w:tc>
      </w:tr>
      <w:tr>
        <w:tblPrEx>
          <w:tblCellMar>
            <w:top w:w="0" w:type="dxa"/>
            <w:left w:w="108" w:type="dxa"/>
            <w:bottom w:w="0" w:type="dxa"/>
            <w:right w:w="108" w:type="dxa"/>
          </w:tblCellMar>
        </w:tblPrEx>
        <w:trPr>
          <w:gridBefore w:val="3"/>
          <w:gridAfter w:val="4"/>
          <w:wBefore w:w="1197" w:type="dxa"/>
          <w:wAfter w:w="442" w:type="dxa"/>
          <w:trHeight w:val="915"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成本指标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开展科学普及、素质调查等相关工作3.1万元、差旅费2.35万元、会议费1.96万元、7.59万元。合计15万元。</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15</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万元</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15</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372"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效果指标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开展科学普及、素质调查等项工作效果良好。</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3</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项</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3</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1799"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效益指标</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社会效益指标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项目能为省政府制定和实施“十四五”时期全省明确了今后五年将经济建设、科技创新、乡村振兴作为社会发展的主要目标规划，充分发挥其自身所长为科技工作者服务、为创新驱动发展服务、为提高全民科学素质服务、为党和政府科学决策服务。</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92</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92</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553" w:hRule="atLeast"/>
        </w:trPr>
        <w:tc>
          <w:tcPr>
            <w:tcW w:w="599"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9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满意度指标</w:t>
            </w:r>
          </w:p>
        </w:tc>
        <w:tc>
          <w:tcPr>
            <w:tcW w:w="75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服务对象满意度指标</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政府各部门、各阶层群众满意度可达93左右。</w:t>
            </w:r>
          </w:p>
        </w:tc>
        <w:tc>
          <w:tcPr>
            <w:tcW w:w="5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93</w:t>
            </w:r>
          </w:p>
        </w:tc>
        <w:tc>
          <w:tcPr>
            <w:tcW w:w="5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77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93</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eastAsia="宋体" w:cs="宋体"/>
                <w:color w:val="000000"/>
                <w:sz w:val="15"/>
                <w:szCs w:val="15"/>
                <w:lang w:eastAsia="zh-CN"/>
              </w:rPr>
            </w:pPr>
            <w:r>
              <w:rPr>
                <w:rFonts w:hint="eastAsia" w:ascii="宋体" w:hAnsi="宋体" w:cs="宋体"/>
                <w:color w:val="000000"/>
                <w:kern w:val="0"/>
                <w:sz w:val="15"/>
                <w:szCs w:val="15"/>
                <w:lang w:val="en-US" w:eastAsia="zh-CN"/>
              </w:rPr>
              <w:t>8</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满意度未达</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gridBefore w:val="3"/>
          <w:gridAfter w:val="4"/>
          <w:wBefore w:w="1197" w:type="dxa"/>
          <w:wAfter w:w="442" w:type="dxa"/>
          <w:trHeight w:val="338" w:hRule="atLeast"/>
        </w:trPr>
        <w:tc>
          <w:tcPr>
            <w:tcW w:w="6565" w:type="dxa"/>
            <w:gridSpan w:val="3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合计</w:t>
            </w:r>
          </w:p>
        </w:tc>
        <w:tc>
          <w:tcPr>
            <w:tcW w:w="47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w:t>
            </w:r>
          </w:p>
        </w:tc>
        <w:tc>
          <w:tcPr>
            <w:tcW w:w="62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96</w:t>
            </w:r>
          </w:p>
        </w:tc>
        <w:tc>
          <w:tcPr>
            <w:tcW w:w="1494"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r>
      <w:tr>
        <w:tblPrEx>
          <w:tblCellMar>
            <w:top w:w="0" w:type="dxa"/>
            <w:left w:w="108" w:type="dxa"/>
            <w:bottom w:w="0" w:type="dxa"/>
            <w:right w:w="108" w:type="dxa"/>
          </w:tblCellMar>
        </w:tblPrEx>
        <w:trPr>
          <w:gridBefore w:val="3"/>
          <w:gridAfter w:val="4"/>
          <w:wBefore w:w="1197" w:type="dxa"/>
          <w:wAfter w:w="442" w:type="dxa"/>
          <w:trHeight w:val="553" w:hRule="atLeast"/>
        </w:trPr>
        <w:tc>
          <w:tcPr>
            <w:tcW w:w="59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评价结论</w:t>
            </w:r>
          </w:p>
        </w:tc>
        <w:tc>
          <w:tcPr>
            <w:tcW w:w="8562" w:type="dxa"/>
            <w:gridSpan w:val="3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年度完成了开展科学普及、素质调查等相关工作；开展科普“五进”活动：进机关、进乡村、进学校、进企事业、进社区；召开相关会议：布置开展科普、全民科学素质提升相关工作、总结调研事宜。从产出、效益、满意度指标等进行了以上打分，预算执行率100%，执行情况良好，自评得分</w:t>
            </w:r>
            <w:r>
              <w:rPr>
                <w:rFonts w:hint="eastAsia" w:ascii="微软雅黑" w:hAnsi="微软雅黑" w:eastAsia="微软雅黑" w:cs="微软雅黑"/>
                <w:i/>
                <w:iCs/>
                <w:color w:val="000000"/>
                <w:kern w:val="0"/>
                <w:sz w:val="15"/>
                <w:szCs w:val="15"/>
                <w:lang w:val="en-US" w:eastAsia="zh-CN"/>
              </w:rPr>
              <w:t>96</w:t>
            </w:r>
            <w:r>
              <w:rPr>
                <w:rFonts w:hint="eastAsia" w:ascii="微软雅黑" w:hAnsi="微软雅黑" w:eastAsia="微软雅黑" w:cs="微软雅黑"/>
                <w:i/>
                <w:iCs/>
                <w:color w:val="000000"/>
                <w:kern w:val="0"/>
                <w:sz w:val="15"/>
                <w:szCs w:val="15"/>
              </w:rPr>
              <w:t>分。</w:t>
            </w:r>
          </w:p>
        </w:tc>
      </w:tr>
      <w:tr>
        <w:tblPrEx>
          <w:tblCellMar>
            <w:top w:w="0" w:type="dxa"/>
            <w:left w:w="108" w:type="dxa"/>
            <w:bottom w:w="0" w:type="dxa"/>
            <w:right w:w="108" w:type="dxa"/>
          </w:tblCellMar>
        </w:tblPrEx>
        <w:trPr>
          <w:gridBefore w:val="3"/>
          <w:gridAfter w:val="4"/>
          <w:wBefore w:w="1197" w:type="dxa"/>
          <w:wAfter w:w="442" w:type="dxa"/>
          <w:trHeight w:val="319" w:hRule="atLeast"/>
        </w:trPr>
        <w:tc>
          <w:tcPr>
            <w:tcW w:w="155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存在问题</w:t>
            </w:r>
          </w:p>
        </w:tc>
        <w:tc>
          <w:tcPr>
            <w:tcW w:w="7608" w:type="dxa"/>
            <w:gridSpan w:val="3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318" w:hRule="atLeast"/>
        </w:trPr>
        <w:tc>
          <w:tcPr>
            <w:tcW w:w="155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改进措施</w:t>
            </w:r>
          </w:p>
        </w:tc>
        <w:tc>
          <w:tcPr>
            <w:tcW w:w="7608" w:type="dxa"/>
            <w:gridSpan w:val="3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gridBefore w:val="3"/>
          <w:gridAfter w:val="4"/>
          <w:wBefore w:w="1197" w:type="dxa"/>
          <w:wAfter w:w="442" w:type="dxa"/>
          <w:trHeight w:val="351" w:hRule="atLeast"/>
        </w:trPr>
        <w:tc>
          <w:tcPr>
            <w:tcW w:w="4745"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项目负责人：赵菲</w:t>
            </w:r>
          </w:p>
        </w:tc>
        <w:tc>
          <w:tcPr>
            <w:tcW w:w="4416" w:type="dxa"/>
            <w:gridSpan w:val="2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trHeight w:val="322" w:hRule="atLeast"/>
        </w:trPr>
        <w:tc>
          <w:tcPr>
            <w:tcW w:w="10800" w:type="dxa"/>
            <w:gridSpan w:val="4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trHeight w:val="257" w:hRule="atLeast"/>
        </w:trPr>
        <w:tc>
          <w:tcPr>
            <w:tcW w:w="246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37" w:type="dxa"/>
            <w:gridSpan w:val="4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51340022T000000278908-凉山州级科普专项经费</w:t>
            </w:r>
          </w:p>
        </w:tc>
      </w:tr>
      <w:tr>
        <w:tblPrEx>
          <w:tblCellMar>
            <w:top w:w="0" w:type="dxa"/>
            <w:left w:w="108" w:type="dxa"/>
            <w:bottom w:w="0" w:type="dxa"/>
            <w:right w:w="108" w:type="dxa"/>
          </w:tblCellMar>
        </w:tblPrEx>
        <w:trPr>
          <w:trHeight w:val="371" w:hRule="atLeast"/>
        </w:trPr>
        <w:tc>
          <w:tcPr>
            <w:tcW w:w="246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987"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843" w:type="dxa"/>
            <w:gridSpan w:val="5"/>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5"/>
                <w:szCs w:val="15"/>
              </w:rPr>
              <w:t>实施单位 （盖章）</w:t>
            </w:r>
          </w:p>
        </w:tc>
        <w:tc>
          <w:tcPr>
            <w:tcW w:w="3507"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trHeight w:val="210" w:hRule="atLeast"/>
        </w:trPr>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685" w:type="dxa"/>
            <w:gridSpan w:val="6"/>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987"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350"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2165"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685" w:type="dxa"/>
            <w:gridSpan w:val="6"/>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3987"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围绕省科协天府科技云服务重点工作，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更好为凉山经济社会发展服务。</w:t>
            </w:r>
          </w:p>
        </w:tc>
        <w:tc>
          <w:tcPr>
            <w:tcW w:w="4350"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围绕省科协天府科技云服务重点工作，完成了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参加中国科协、省科协及相关部门业务、党务培训；科普进乡村、大篷车进校园活动，深入企业村组社区等开展科普活动，更好为凉山经济社会发展服务。</w:t>
            </w:r>
          </w:p>
        </w:tc>
      </w:tr>
      <w:tr>
        <w:tblPrEx>
          <w:tblCellMar>
            <w:top w:w="0" w:type="dxa"/>
            <w:left w:w="108" w:type="dxa"/>
            <w:bottom w:w="0" w:type="dxa"/>
            <w:right w:w="108" w:type="dxa"/>
          </w:tblCellMar>
        </w:tblPrEx>
        <w:trPr>
          <w:trHeight w:val="1092"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37" w:type="dxa"/>
            <w:gridSpan w:val="4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2022年围绕省科协天府科技云服务重点工作，实施完成了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更好为凉山经济社会发展服务。</w:t>
            </w:r>
          </w:p>
        </w:tc>
      </w:tr>
      <w:tr>
        <w:tblPrEx>
          <w:tblCellMar>
            <w:top w:w="0" w:type="dxa"/>
            <w:left w:w="108" w:type="dxa"/>
            <w:bottom w:w="0" w:type="dxa"/>
            <w:right w:w="108" w:type="dxa"/>
          </w:tblCellMar>
        </w:tblPrEx>
        <w:trPr>
          <w:trHeight w:val="371" w:hRule="atLeast"/>
        </w:trPr>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047"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7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149.30</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047" w:type="dxa"/>
            <w:gridSpan w:val="8"/>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5"/>
                <w:szCs w:val="15"/>
              </w:rPr>
              <w:t>年度追拨州级科普专项资金37届州青少年科创赛15万元、干部能力提升等培训费30万元、院士专家工作站补助经费15万元、科普日活动5万元。共计65万元；因新冠疫情反复发生、无法实施干部能力提升培训，上缴财政25万元。实际追拨40万元。</w:t>
            </w:r>
          </w:p>
        </w:tc>
      </w:tr>
      <w:tr>
        <w:tblPrEx>
          <w:tblCellMar>
            <w:top w:w="0" w:type="dxa"/>
            <w:left w:w="108" w:type="dxa"/>
            <w:bottom w:w="0" w:type="dxa"/>
            <w:right w:w="108" w:type="dxa"/>
          </w:tblCellMar>
        </w:tblPrEx>
        <w:trPr>
          <w:trHeight w:val="37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149.30</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财政专户管理资金</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8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0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1075" w:type="dxa"/>
            <w:gridSpan w:val="10"/>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843" w:type="dxa"/>
            <w:gridSpan w:val="5"/>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8"/>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4" w:hRule="atLeast"/>
        </w:trPr>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一级指标</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二级指标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三级指标</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指标性质</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指标值</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度量单位</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完成值</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247"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产出指标</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数量指标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共由8个大项目组成</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8</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个（套）</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8</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55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8个大项目经各职能科室精心策划，较高质量提请党组集体论的工作安排。</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466"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2022年1-12月完成</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年</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8</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前期支付缓慢，扣2分。</w:t>
            </w:r>
          </w:p>
        </w:tc>
      </w:tr>
      <w:tr>
        <w:tblPrEx>
          <w:tblCellMar>
            <w:top w:w="0" w:type="dxa"/>
            <w:left w:w="108" w:type="dxa"/>
            <w:bottom w:w="0" w:type="dxa"/>
            <w:right w:w="108" w:type="dxa"/>
          </w:tblCellMar>
        </w:tblPrEx>
        <w:trPr>
          <w:trHeight w:val="55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共计8个大项目、金额149.3万元（不含预留财政60万元）</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149.3</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万元</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189.3</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20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18</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预算经济科目编制不够准确，扣分2分。</w:t>
            </w:r>
          </w:p>
        </w:tc>
      </w:tr>
      <w:tr>
        <w:tblPrEx>
          <w:tblCellMar>
            <w:top w:w="0" w:type="dxa"/>
            <w:left w:w="108" w:type="dxa"/>
            <w:bottom w:w="0" w:type="dxa"/>
            <w:right w:w="108" w:type="dxa"/>
          </w:tblCellMar>
        </w:tblPrEx>
        <w:trPr>
          <w:trHeight w:val="37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2022年内完成8个大项目任务</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8</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个（套）</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8</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无</w:t>
            </w:r>
          </w:p>
        </w:tc>
      </w:tr>
      <w:tr>
        <w:tblPrEx>
          <w:tblCellMar>
            <w:top w:w="0" w:type="dxa"/>
            <w:left w:w="108" w:type="dxa"/>
            <w:bottom w:w="0" w:type="dxa"/>
            <w:right w:w="108" w:type="dxa"/>
          </w:tblCellMar>
        </w:tblPrEx>
        <w:trPr>
          <w:trHeight w:val="1273"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组织全州科技人员和科普志愿者开展宣传科普知识、科普主题活动；在全州贫困地区开展科普进农民夜校工作，传播科学思想、倡导科学方法，激发群众的内生动力，助力乡村振兴。</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项</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10</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无</w:t>
            </w:r>
          </w:p>
        </w:tc>
      </w:tr>
      <w:tr>
        <w:tblPrEx>
          <w:tblCellMar>
            <w:top w:w="0" w:type="dxa"/>
            <w:left w:w="108" w:type="dxa"/>
            <w:bottom w:w="0" w:type="dxa"/>
            <w:right w:w="108" w:type="dxa"/>
          </w:tblCellMar>
        </w:tblPrEx>
        <w:trPr>
          <w:trHeight w:val="551" w:hRule="atLeast"/>
        </w:trPr>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894"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0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相关部门、群众满意度能够达到95%左右。</w:t>
            </w:r>
          </w:p>
        </w:tc>
        <w:tc>
          <w:tcPr>
            <w:tcW w:w="83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95</w:t>
            </w:r>
          </w:p>
        </w:tc>
        <w:tc>
          <w:tcPr>
            <w:tcW w:w="74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w:t>
            </w:r>
          </w:p>
        </w:tc>
        <w:tc>
          <w:tcPr>
            <w:tcW w:w="56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95</w:t>
            </w:r>
          </w:p>
        </w:tc>
        <w:tc>
          <w:tcPr>
            <w:tcW w:w="47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9</w:t>
            </w:r>
          </w:p>
        </w:tc>
        <w:tc>
          <w:tcPr>
            <w:tcW w:w="15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服务对象满意度达不到100%，故扣1分。</w:t>
            </w:r>
          </w:p>
        </w:tc>
      </w:tr>
      <w:tr>
        <w:tblPrEx>
          <w:tblCellMar>
            <w:top w:w="0" w:type="dxa"/>
            <w:left w:w="108" w:type="dxa"/>
            <w:bottom w:w="0" w:type="dxa"/>
            <w:right w:w="108" w:type="dxa"/>
          </w:tblCellMar>
        </w:tblPrEx>
        <w:trPr>
          <w:trHeight w:val="342" w:hRule="atLeast"/>
        </w:trPr>
        <w:tc>
          <w:tcPr>
            <w:tcW w:w="7293" w:type="dxa"/>
            <w:gridSpan w:val="3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合计</w:t>
            </w:r>
          </w:p>
        </w:tc>
        <w:tc>
          <w:tcPr>
            <w:tcW w:w="65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100</w:t>
            </w:r>
          </w:p>
        </w:tc>
        <w:tc>
          <w:tcPr>
            <w:tcW w:w="80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3"/>
                <w:szCs w:val="13"/>
              </w:rPr>
            </w:pPr>
            <w:r>
              <w:rPr>
                <w:rFonts w:ascii="宋体" w:hAnsi="宋体" w:cs="宋体"/>
                <w:color w:val="000000"/>
                <w:kern w:val="0"/>
                <w:sz w:val="13"/>
                <w:szCs w:val="13"/>
              </w:rPr>
              <w:t>95</w:t>
            </w:r>
          </w:p>
        </w:tc>
        <w:tc>
          <w:tcPr>
            <w:tcW w:w="2047" w:type="dxa"/>
            <w:gridSpan w:val="8"/>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3"/>
                <w:szCs w:val="13"/>
              </w:rPr>
            </w:pPr>
          </w:p>
        </w:tc>
      </w:tr>
      <w:tr>
        <w:tblPrEx>
          <w:tblCellMar>
            <w:top w:w="0" w:type="dxa"/>
            <w:left w:w="108" w:type="dxa"/>
            <w:bottom w:w="0" w:type="dxa"/>
            <w:right w:w="108" w:type="dxa"/>
          </w:tblCellMar>
        </w:tblPrEx>
        <w:trPr>
          <w:trHeight w:val="551"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0022" w:type="dxa"/>
            <w:gridSpan w:val="4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围绕省科协天府科技云服务重点工作，5个项目组完成了设定的表彰奖励优秀科技工作者，维护视讯中心、互联网+科普平台建设网络运行，实施学会能力提升计划；开发科普资源；组织开展青少年科技创新教育活动；院士专家工作站及企事业科协建设；参加中国科协省科协及相关部门业务党务培训；开展科普进乡村大篷车进校园等科普活动等任务任务，项目的实施助推了凉山经济社会发展。从产出、效益、满意度等指标进行了以上打分，预算执行率100%，执行情况良好，自评得分95分。</w:t>
            </w:r>
          </w:p>
        </w:tc>
      </w:tr>
      <w:tr>
        <w:tblPrEx>
          <w:tblCellMar>
            <w:top w:w="0" w:type="dxa"/>
            <w:left w:w="108" w:type="dxa"/>
            <w:bottom w:w="0" w:type="dxa"/>
            <w:right w:w="108" w:type="dxa"/>
          </w:tblCellMar>
        </w:tblPrEx>
        <w:trPr>
          <w:trHeight w:val="459"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0022" w:type="dxa"/>
            <w:gridSpan w:val="4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因新冠疫情反复发生部分项目资金支付前期较缓慢，影响了资金使用效率。预算经济科目编制不够准确，与实际支出存在差异。</w:t>
            </w:r>
          </w:p>
        </w:tc>
      </w:tr>
      <w:tr>
        <w:tblPrEx>
          <w:tblCellMar>
            <w:top w:w="0" w:type="dxa"/>
            <w:left w:w="108" w:type="dxa"/>
            <w:bottom w:w="0" w:type="dxa"/>
            <w:right w:w="108" w:type="dxa"/>
          </w:tblCellMar>
        </w:tblPrEx>
        <w:trPr>
          <w:trHeight w:val="666" w:hRule="atLeast"/>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0022" w:type="dxa"/>
            <w:gridSpan w:val="4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项目组应设定备选方案，并与财务及时沟通，尽量减少因客观原因造成项目无法实施形成沉淀资金，努力提高资金使用效率。经济科目预算编制应尽量准确。</w:t>
            </w:r>
          </w:p>
        </w:tc>
      </w:tr>
      <w:tr>
        <w:tblPrEx>
          <w:tblCellMar>
            <w:top w:w="0" w:type="dxa"/>
            <w:left w:w="108" w:type="dxa"/>
            <w:bottom w:w="0" w:type="dxa"/>
            <w:right w:w="108" w:type="dxa"/>
          </w:tblCellMar>
        </w:tblPrEx>
        <w:trPr>
          <w:trHeight w:val="503" w:hRule="atLeast"/>
        </w:trPr>
        <w:tc>
          <w:tcPr>
            <w:tcW w:w="6206"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项目负责人：凌静、赵菲、吴家英、吴朝兰、李阳德</w:t>
            </w:r>
          </w:p>
        </w:tc>
        <w:tc>
          <w:tcPr>
            <w:tcW w:w="4594" w:type="dxa"/>
            <w:gridSpan w:val="2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gridBefore w:val="3"/>
          <w:gridAfter w:val="3"/>
          <w:wBefore w:w="1197" w:type="dxa"/>
          <w:wAfter w:w="224" w:type="dxa"/>
          <w:trHeight w:val="444" w:hRule="atLeast"/>
        </w:trPr>
        <w:tc>
          <w:tcPr>
            <w:tcW w:w="9379" w:type="dxa"/>
            <w:gridSpan w:val="4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Before w:val="3"/>
          <w:gridAfter w:val="3"/>
          <w:wBefore w:w="1197" w:type="dxa"/>
          <w:wAfter w:w="224" w:type="dxa"/>
          <w:trHeight w:val="370" w:hRule="atLeast"/>
        </w:trPr>
        <w:tc>
          <w:tcPr>
            <w:tcW w:w="1341"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38" w:type="dxa"/>
            <w:gridSpan w:val="3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51340022T000000278911-办公设备购置费</w:t>
            </w:r>
          </w:p>
        </w:tc>
      </w:tr>
      <w:tr>
        <w:tblPrEx>
          <w:tblCellMar>
            <w:top w:w="0" w:type="dxa"/>
            <w:left w:w="108" w:type="dxa"/>
            <w:bottom w:w="0" w:type="dxa"/>
            <w:right w:w="108" w:type="dxa"/>
          </w:tblCellMar>
        </w:tblPrEx>
        <w:trPr>
          <w:gridBefore w:val="3"/>
          <w:gridAfter w:val="3"/>
          <w:wBefore w:w="1197" w:type="dxa"/>
          <w:wAfter w:w="224" w:type="dxa"/>
          <w:trHeight w:val="532" w:hRule="atLeast"/>
        </w:trPr>
        <w:tc>
          <w:tcPr>
            <w:tcW w:w="134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883" w:type="dxa"/>
            <w:gridSpan w:val="2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846" w:type="dxa"/>
            <w:gridSpan w:val="7"/>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30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883" w:type="dxa"/>
            <w:gridSpan w:val="2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155"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Before w:val="3"/>
          <w:gridAfter w:val="3"/>
          <w:wBefore w:w="1197" w:type="dxa"/>
          <w:wAfter w:w="224" w:type="dxa"/>
          <w:trHeight w:val="587"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4883" w:type="dxa"/>
            <w:gridSpan w:val="2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购置办公设备壁挂式空调2台，为新进职工配备必要的办公设备，更好的完成年度工作任务。</w:t>
            </w:r>
          </w:p>
        </w:tc>
        <w:tc>
          <w:tcPr>
            <w:tcW w:w="3155"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完成了购置办公设备壁挂式空调2台，为新进职工配备必要的办公设备，提高工作效率。</w:t>
            </w:r>
          </w:p>
        </w:tc>
      </w:tr>
      <w:tr>
        <w:tblPrEx>
          <w:tblCellMar>
            <w:top w:w="0" w:type="dxa"/>
            <w:left w:w="108" w:type="dxa"/>
            <w:bottom w:w="0" w:type="dxa"/>
            <w:right w:w="108" w:type="dxa"/>
          </w:tblCellMar>
        </w:tblPrEx>
        <w:trPr>
          <w:gridBefore w:val="3"/>
          <w:gridAfter w:val="3"/>
          <w:wBefore w:w="1197" w:type="dxa"/>
          <w:wAfter w:w="224" w:type="dxa"/>
          <w:trHeight w:val="488"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38" w:type="dxa"/>
            <w:gridSpan w:val="3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2022年6月通过政府采购完成了购置办公设备壁挂式空调2台，为新进职工配备必要的办公设备，提高了工作效率，更好的完成年度工作任务。</w:t>
            </w:r>
          </w:p>
        </w:tc>
      </w:tr>
      <w:tr>
        <w:tblPrEx>
          <w:tblCellMar>
            <w:top w:w="0" w:type="dxa"/>
            <w:left w:w="108" w:type="dxa"/>
            <w:bottom w:w="0" w:type="dxa"/>
            <w:right w:w="108" w:type="dxa"/>
          </w:tblCellMar>
        </w:tblPrEx>
        <w:trPr>
          <w:gridBefore w:val="3"/>
          <w:gridAfter w:val="3"/>
          <w:wBefore w:w="1197" w:type="dxa"/>
          <w:wAfter w:w="224" w:type="dxa"/>
          <w:trHeight w:val="538"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Before w:val="3"/>
          <w:gridAfter w:val="3"/>
          <w:wBefore w:w="1197" w:type="dxa"/>
          <w:wAfter w:w="224" w:type="dxa"/>
          <w:trHeight w:val="31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0.70</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0.60</w:t>
            </w: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0.60</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通过政府公开竞标采购，实际采购壁挂式空调2台金额共计0.6万元，剩余0.1万元上缴财政。</w:t>
            </w:r>
          </w:p>
        </w:tc>
      </w:tr>
      <w:tr>
        <w:tblPrEx>
          <w:tblCellMar>
            <w:top w:w="0" w:type="dxa"/>
            <w:left w:w="108" w:type="dxa"/>
            <w:bottom w:w="0" w:type="dxa"/>
            <w:right w:w="108" w:type="dxa"/>
          </w:tblCellMar>
        </w:tblPrEx>
        <w:trPr>
          <w:gridBefore w:val="3"/>
          <w:gridAfter w:val="3"/>
          <w:wBefore w:w="1197" w:type="dxa"/>
          <w:wAfter w:w="224" w:type="dxa"/>
          <w:trHeight w:val="52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0.70</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0.60</w:t>
            </w: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0.60</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3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3"/>
          <w:gridAfter w:val="3"/>
          <w:wBefore w:w="1197" w:type="dxa"/>
          <w:wAfter w:w="224" w:type="dxa"/>
          <w:trHeight w:val="375"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3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3"/>
          <w:gridAfter w:val="3"/>
          <w:wBefore w:w="1197" w:type="dxa"/>
          <w:wAfter w:w="224" w:type="dxa"/>
          <w:trHeight w:val="9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3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3"/>
          <w:gridAfter w:val="3"/>
          <w:wBefore w:w="1197" w:type="dxa"/>
          <w:wAfter w:w="224" w:type="dxa"/>
          <w:trHeight w:val="162"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638" w:type="dxa"/>
            <w:gridSpan w:val="1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37"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3"/>
          <w:gridAfter w:val="3"/>
          <w:wBefore w:w="1197" w:type="dxa"/>
          <w:wAfter w:w="224" w:type="dxa"/>
          <w:trHeight w:val="450"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82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政府采购率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36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27"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购置设备数量</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台（套）</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2</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2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设备质量合格率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27"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安装工程验收合格率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27"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设备故障率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6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设备利用率</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9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设备使用年限</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5</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910"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6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82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41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使用人员满意度</w:t>
            </w:r>
          </w:p>
        </w:tc>
        <w:tc>
          <w:tcPr>
            <w:tcW w:w="3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756"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310" w:hRule="atLeast"/>
        </w:trPr>
        <w:tc>
          <w:tcPr>
            <w:tcW w:w="7070" w:type="dxa"/>
            <w:gridSpan w:val="3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337"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Before w:val="3"/>
          <w:gridAfter w:val="3"/>
          <w:wBefore w:w="1197" w:type="dxa"/>
          <w:wAfter w:w="224" w:type="dxa"/>
          <w:trHeight w:val="610" w:hRule="atLeast"/>
        </w:trPr>
        <w:tc>
          <w:tcPr>
            <w:tcW w:w="5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803" w:type="dxa"/>
            <w:gridSpan w:val="4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完成了通过政府采购完成了购置办公设备壁挂式空调2台，为新进职工配备必要的办公设备，提高工作效率，更好的完成年度工作任务。从产出、效益、满意度指标等进行了以上打分，预算执行率100%，执行情况良好，自评得分100分。</w:t>
            </w:r>
          </w:p>
        </w:tc>
      </w:tr>
      <w:tr>
        <w:tblPrEx>
          <w:tblCellMar>
            <w:top w:w="0" w:type="dxa"/>
            <w:left w:w="108" w:type="dxa"/>
            <w:bottom w:w="0" w:type="dxa"/>
            <w:right w:w="108" w:type="dxa"/>
          </w:tblCellMar>
        </w:tblPrEx>
        <w:trPr>
          <w:gridBefore w:val="3"/>
          <w:gridAfter w:val="3"/>
          <w:wBefore w:w="1197" w:type="dxa"/>
          <w:wAfter w:w="224" w:type="dxa"/>
          <w:trHeight w:val="503" w:hRule="atLeast"/>
        </w:trPr>
        <w:tc>
          <w:tcPr>
            <w:tcW w:w="5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803" w:type="dxa"/>
            <w:gridSpan w:val="4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610" w:hRule="atLeast"/>
        </w:trPr>
        <w:tc>
          <w:tcPr>
            <w:tcW w:w="57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803" w:type="dxa"/>
            <w:gridSpan w:val="4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Before w:val="3"/>
          <w:gridAfter w:val="3"/>
          <w:wBefore w:w="1197" w:type="dxa"/>
          <w:wAfter w:w="224" w:type="dxa"/>
          <w:trHeight w:val="423" w:hRule="atLeast"/>
        </w:trPr>
        <w:tc>
          <w:tcPr>
            <w:tcW w:w="4982"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项目负责人：凌静</w:t>
            </w:r>
          </w:p>
        </w:tc>
        <w:tc>
          <w:tcPr>
            <w:tcW w:w="4397" w:type="dxa"/>
            <w:gridSpan w:val="2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bl>
    <w:p/>
    <w:tbl>
      <w:tblPr>
        <w:tblStyle w:val="18"/>
        <w:tblW w:w="9567" w:type="dxa"/>
        <w:tblInd w:w="-34" w:type="dxa"/>
        <w:tblLayout w:type="fixed"/>
        <w:tblCellMar>
          <w:top w:w="0" w:type="dxa"/>
          <w:left w:w="108" w:type="dxa"/>
          <w:bottom w:w="0" w:type="dxa"/>
          <w:right w:w="108" w:type="dxa"/>
        </w:tblCellMar>
      </w:tblPr>
      <w:tblGrid>
        <w:gridCol w:w="642"/>
        <w:gridCol w:w="54"/>
        <w:gridCol w:w="756"/>
        <w:gridCol w:w="626"/>
        <w:gridCol w:w="232"/>
        <w:gridCol w:w="2511"/>
        <w:gridCol w:w="396"/>
        <w:gridCol w:w="160"/>
        <w:gridCol w:w="286"/>
        <w:gridCol w:w="40"/>
        <w:gridCol w:w="329"/>
        <w:gridCol w:w="67"/>
        <w:gridCol w:w="299"/>
        <w:gridCol w:w="547"/>
        <w:gridCol w:w="194"/>
        <w:gridCol w:w="292"/>
        <w:gridCol w:w="149"/>
        <w:gridCol w:w="337"/>
        <w:gridCol w:w="297"/>
        <w:gridCol w:w="1090"/>
        <w:gridCol w:w="263"/>
      </w:tblGrid>
      <w:tr>
        <w:tblPrEx>
          <w:tblCellMar>
            <w:top w:w="0" w:type="dxa"/>
            <w:left w:w="108" w:type="dxa"/>
            <w:bottom w:w="0" w:type="dxa"/>
            <w:right w:w="108" w:type="dxa"/>
          </w:tblCellMar>
        </w:tblPrEx>
        <w:trPr>
          <w:gridAfter w:val="1"/>
          <w:wAfter w:w="263" w:type="dxa"/>
          <w:trHeight w:val="436" w:hRule="atLeast"/>
        </w:trPr>
        <w:tc>
          <w:tcPr>
            <w:tcW w:w="9304"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After w:val="1"/>
          <w:wAfter w:w="263" w:type="dxa"/>
          <w:trHeight w:val="320" w:hRule="atLeast"/>
        </w:trPr>
        <w:tc>
          <w:tcPr>
            <w:tcW w:w="14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852" w:type="dxa"/>
            <w:gridSpan w:val="1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51340022T000000279103-公务用车购置费</w:t>
            </w:r>
          </w:p>
        </w:tc>
      </w:tr>
      <w:tr>
        <w:tblPrEx>
          <w:tblCellMar>
            <w:top w:w="0" w:type="dxa"/>
            <w:left w:w="108" w:type="dxa"/>
            <w:bottom w:w="0" w:type="dxa"/>
            <w:right w:w="108" w:type="dxa"/>
          </w:tblCellMar>
        </w:tblPrEx>
        <w:trPr>
          <w:gridAfter w:val="1"/>
          <w:wAfter w:w="263" w:type="dxa"/>
          <w:trHeight w:val="725" w:hRule="atLeast"/>
        </w:trPr>
        <w:tc>
          <w:tcPr>
            <w:tcW w:w="14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64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846" w:type="dxa"/>
            <w:gridSpan w:val="2"/>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35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After w:val="1"/>
          <w:wAfter w:w="263" w:type="dxa"/>
          <w:trHeight w:val="270" w:hRule="atLeast"/>
        </w:trPr>
        <w:tc>
          <w:tcPr>
            <w:tcW w:w="6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64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20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After w:val="1"/>
          <w:wAfter w:w="263" w:type="dxa"/>
          <w:trHeight w:val="823"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宋体" w:hAnsi="宋体" w:cs="宋体"/>
                <w:color w:val="000000"/>
                <w:sz w:val="18"/>
                <w:szCs w:val="18"/>
              </w:rPr>
            </w:pPr>
          </w:p>
        </w:tc>
        <w:tc>
          <w:tcPr>
            <w:tcW w:w="464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为了更好的服务于各级党群，提高工作效率，顺利开展巩固脱贫攻坚成果同乡村振兴有效衔接各项工作，将申请新购置价格在50万元以内，排量在3.5T内的适合乡村道路越野车一辆。</w:t>
            </w:r>
          </w:p>
        </w:tc>
        <w:tc>
          <w:tcPr>
            <w:tcW w:w="320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年度内，通过政府采购完成了购置排量在3.5T、金额48.93万元的红旗越野车一辆。为提高工作效率，顺利完成科普活动、乡村振兴、森林防灭火等工作提供了坚实的基础设施保障。</w:t>
            </w:r>
          </w:p>
        </w:tc>
      </w:tr>
      <w:tr>
        <w:tblPrEx>
          <w:tblCellMar>
            <w:top w:w="0" w:type="dxa"/>
            <w:left w:w="108" w:type="dxa"/>
            <w:bottom w:w="0" w:type="dxa"/>
            <w:right w:w="108" w:type="dxa"/>
          </w:tblCellMar>
        </w:tblPrEx>
        <w:trPr>
          <w:gridAfter w:val="1"/>
          <w:wAfter w:w="263" w:type="dxa"/>
          <w:trHeight w:val="940"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852"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按照公务用车配置相关规定，经州委州政府批准、州机关事务管理局核定、州财政局审核拨付49万元用于我部门公务车购置。2022年6月通过政府采购公开竞标，完成了购置排量在3.5T、金额48.93万元的红旗越野车一辆。为提高工作效率，顺利完成科普活动、乡村振兴、森林防灭火等工作提供了坚实的基础设施保障。</w:t>
            </w:r>
          </w:p>
        </w:tc>
      </w:tr>
      <w:tr>
        <w:tblPrEx>
          <w:tblCellMar>
            <w:top w:w="0" w:type="dxa"/>
            <w:left w:w="108" w:type="dxa"/>
            <w:bottom w:w="0" w:type="dxa"/>
            <w:right w:w="108" w:type="dxa"/>
          </w:tblCellMar>
        </w:tblPrEx>
        <w:trPr>
          <w:gridAfter w:val="1"/>
          <w:wAfter w:w="263" w:type="dxa"/>
          <w:trHeight w:val="690" w:hRule="atLeast"/>
        </w:trPr>
        <w:tc>
          <w:tcPr>
            <w:tcW w:w="69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After w:val="1"/>
          <w:wAfter w:w="263" w:type="dxa"/>
          <w:trHeight w:val="260"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48.93</w:t>
            </w: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48.93</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2022年6月财政追拨公务用车购置费49万元，通过政府公开竞标采购，实际支付48.93万元，结余0.07万元上缴财政。</w:t>
            </w:r>
          </w:p>
        </w:tc>
      </w:tr>
      <w:tr>
        <w:tblPrEx>
          <w:tblCellMar>
            <w:top w:w="0" w:type="dxa"/>
            <w:left w:w="108" w:type="dxa"/>
            <w:bottom w:w="0" w:type="dxa"/>
            <w:right w:w="108" w:type="dxa"/>
          </w:tblCellMar>
        </w:tblPrEx>
        <w:trPr>
          <w:gridAfter w:val="1"/>
          <w:wAfter w:w="263" w:type="dxa"/>
          <w:trHeight w:val="630"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48.93</w:t>
            </w: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48.93</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63" w:type="dxa"/>
          <w:trHeight w:val="680"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63" w:type="dxa"/>
          <w:trHeight w:val="90"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63" w:type="dxa"/>
          <w:trHeight w:val="133" w:hRule="atLeast"/>
        </w:trPr>
        <w:tc>
          <w:tcPr>
            <w:tcW w:w="69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微软雅黑" w:hAnsi="微软雅黑" w:eastAsia="微软雅黑" w:cs="微软雅黑"/>
                <w:i/>
                <w:iCs/>
                <w:color w:val="000000"/>
                <w:sz w:val="18"/>
                <w:szCs w:val="18"/>
              </w:rPr>
            </w:pP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微软雅黑" w:hAnsi="微软雅黑" w:eastAsia="微软雅黑" w:cs="微软雅黑"/>
                <w:i/>
                <w:iCs/>
                <w:color w:val="000000"/>
                <w:sz w:val="18"/>
                <w:szCs w:val="18"/>
              </w:rPr>
            </w:pPr>
          </w:p>
        </w:tc>
        <w:tc>
          <w:tcPr>
            <w:tcW w:w="127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微软雅黑" w:hAnsi="微软雅黑" w:eastAsia="微软雅黑" w:cs="微软雅黑"/>
                <w:i/>
                <w:iCs/>
                <w:color w:val="000000"/>
                <w:sz w:val="18"/>
                <w:szCs w:val="18"/>
              </w:rPr>
            </w:pP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微软雅黑" w:hAnsi="微软雅黑" w:eastAsia="微软雅黑" w:cs="微软雅黑"/>
                <w:i/>
                <w:iCs/>
                <w:color w:val="000000"/>
                <w:sz w:val="18"/>
                <w:szCs w:val="18"/>
              </w:rPr>
            </w:pP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38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63" w:type="dxa"/>
          <w:trHeight w:val="542" w:hRule="atLeast"/>
        </w:trPr>
        <w:tc>
          <w:tcPr>
            <w:tcW w:w="696"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gridAfter w:val="1"/>
          <w:wAfter w:w="263" w:type="dxa"/>
          <w:trHeight w:val="90"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8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政府采购率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459"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8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购置设备数量</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辆</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347"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85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设备质量合格率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347"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8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验收合格率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347"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85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设备故障率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347" w:hRule="atLeast"/>
        </w:trPr>
        <w:tc>
          <w:tcPr>
            <w:tcW w:w="696" w:type="dxa"/>
            <w:gridSpan w:val="2"/>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设备利用率</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640" w:hRule="atLeast"/>
        </w:trPr>
        <w:tc>
          <w:tcPr>
            <w:tcW w:w="696" w:type="dxa"/>
            <w:gridSpan w:val="2"/>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rPr>
                <w:rFonts w:ascii="宋体" w:hAnsi="宋体" w:cs="宋体"/>
                <w:color w:val="000000"/>
                <w:sz w:val="18"/>
                <w:szCs w:val="18"/>
              </w:rPr>
            </w:pP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设备使用年限</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8</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705" w:hRule="atLeast"/>
        </w:trPr>
        <w:tc>
          <w:tcPr>
            <w:tcW w:w="69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85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使用人员满意度</w:t>
            </w:r>
          </w:p>
        </w:tc>
        <w:tc>
          <w:tcPr>
            <w:tcW w:w="3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8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3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gridAfter w:val="1"/>
          <w:wAfter w:w="263" w:type="dxa"/>
          <w:trHeight w:val="268" w:hRule="atLeast"/>
        </w:trPr>
        <w:tc>
          <w:tcPr>
            <w:tcW w:w="6945"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3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After w:val="1"/>
          <w:wAfter w:w="263" w:type="dxa"/>
          <w:trHeight w:val="940" w:hRule="atLeast"/>
        </w:trPr>
        <w:tc>
          <w:tcPr>
            <w:tcW w:w="6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608" w:type="dxa"/>
            <w:gridSpan w:val="1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2022年6月通过政府采购公开竞标，完成了购置排量在3.5T、金额48.93万元的红旗越野车一辆。为提高工作效率，顺利完成科普活动、乡村振兴、森林防灭火等工作提供了坚实的基础设施保障。从产出、效益、满意度指标等进行了以上打分，预算执行率100%，执行情况良好，自评得分100分。</w:t>
            </w:r>
          </w:p>
        </w:tc>
      </w:tr>
      <w:tr>
        <w:tblPrEx>
          <w:tblCellMar>
            <w:top w:w="0" w:type="dxa"/>
            <w:left w:w="108" w:type="dxa"/>
            <w:bottom w:w="0" w:type="dxa"/>
            <w:right w:w="108" w:type="dxa"/>
          </w:tblCellMar>
        </w:tblPrEx>
        <w:trPr>
          <w:gridAfter w:val="1"/>
          <w:wAfter w:w="263" w:type="dxa"/>
          <w:trHeight w:val="433" w:hRule="atLeast"/>
        </w:trPr>
        <w:tc>
          <w:tcPr>
            <w:tcW w:w="6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608" w:type="dxa"/>
            <w:gridSpan w:val="1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gridAfter w:val="1"/>
          <w:wAfter w:w="263" w:type="dxa"/>
          <w:trHeight w:val="358" w:hRule="atLeast"/>
        </w:trPr>
        <w:tc>
          <w:tcPr>
            <w:tcW w:w="6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608" w:type="dxa"/>
            <w:gridSpan w:val="1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gridAfter w:val="1"/>
          <w:wAfter w:w="263" w:type="dxa"/>
          <w:trHeight w:val="437" w:hRule="atLeast"/>
        </w:trPr>
        <w:tc>
          <w:tcPr>
            <w:tcW w:w="521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项目负责人：凌静</w:t>
            </w:r>
          </w:p>
        </w:tc>
        <w:tc>
          <w:tcPr>
            <w:tcW w:w="4087" w:type="dxa"/>
            <w:gridSpan w:val="1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trHeight w:val="538" w:hRule="atLeast"/>
        </w:trPr>
        <w:tc>
          <w:tcPr>
            <w:tcW w:w="9567" w:type="dxa"/>
            <w:gridSpan w:val="2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trHeight w:val="378" w:hRule="atLeast"/>
        </w:trPr>
        <w:tc>
          <w:tcPr>
            <w:tcW w:w="14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项目名称</w:t>
            </w:r>
          </w:p>
        </w:tc>
        <w:tc>
          <w:tcPr>
            <w:tcW w:w="8115"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51340022T000005849018-省级科普专项资金</w:t>
            </w:r>
          </w:p>
        </w:tc>
      </w:tr>
      <w:tr>
        <w:tblPrEx>
          <w:tblCellMar>
            <w:top w:w="0" w:type="dxa"/>
            <w:left w:w="108" w:type="dxa"/>
            <w:bottom w:w="0" w:type="dxa"/>
            <w:right w:w="108" w:type="dxa"/>
          </w:tblCellMar>
        </w:tblPrEx>
        <w:trPr>
          <w:trHeight w:val="386" w:hRule="atLeast"/>
        </w:trPr>
        <w:tc>
          <w:tcPr>
            <w:tcW w:w="14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主管部门</w:t>
            </w:r>
          </w:p>
        </w:tc>
        <w:tc>
          <w:tcPr>
            <w:tcW w:w="4946"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凉山州科学技术协会部门</w:t>
            </w:r>
          </w:p>
        </w:tc>
        <w:tc>
          <w:tcPr>
            <w:tcW w:w="741" w:type="dxa"/>
            <w:gridSpan w:val="2"/>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实施单位 （盖章）</w:t>
            </w:r>
          </w:p>
        </w:tc>
        <w:tc>
          <w:tcPr>
            <w:tcW w:w="242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凉山州科学技术协会</w:t>
            </w:r>
          </w:p>
        </w:tc>
      </w:tr>
      <w:tr>
        <w:tblPrEx>
          <w:tblCellMar>
            <w:top w:w="0" w:type="dxa"/>
            <w:left w:w="108" w:type="dxa"/>
            <w:bottom w:w="0" w:type="dxa"/>
            <w:right w:w="108" w:type="dxa"/>
          </w:tblCellMar>
        </w:tblPrEx>
        <w:trPr>
          <w:trHeight w:val="454" w:hRule="atLeast"/>
        </w:trPr>
        <w:tc>
          <w:tcPr>
            <w:tcW w:w="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项目基本情况</w:t>
            </w:r>
          </w:p>
        </w:tc>
        <w:tc>
          <w:tcPr>
            <w:tcW w:w="8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1.项目年度目标完成情况</w:t>
            </w:r>
          </w:p>
        </w:tc>
        <w:tc>
          <w:tcPr>
            <w:tcW w:w="4946"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项目年度目标</w:t>
            </w:r>
          </w:p>
        </w:tc>
        <w:tc>
          <w:tcPr>
            <w:tcW w:w="3169"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年度目标完成情况</w:t>
            </w:r>
          </w:p>
        </w:tc>
      </w:tr>
      <w:tr>
        <w:tblPrEx>
          <w:tblCellMar>
            <w:top w:w="0" w:type="dxa"/>
            <w:left w:w="108" w:type="dxa"/>
            <w:bottom w:w="0" w:type="dxa"/>
            <w:right w:w="108" w:type="dxa"/>
          </w:tblCellMar>
        </w:tblPrEx>
        <w:trPr>
          <w:trHeight w:val="1057"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4946"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围绕省天府科技云服务重点工作，夯实科普阵地建设、打造永不落幕的“科创会”，保障天府科技云高速运转，促进凉山科技成果加速转化、高新技术加速推广、科研难题加速攻克。</w:t>
            </w:r>
          </w:p>
        </w:tc>
        <w:tc>
          <w:tcPr>
            <w:tcW w:w="3169"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内，完成了围绕省天府科技云服务重点工作，夯实科普阵地建设、积极组织参与打造永不落幕的“科创会”，保障了天府科技云高速运转，促进了凉山科技成果加速转化、高新技术加速推广、科研难题加速攻克。</w:t>
            </w:r>
          </w:p>
        </w:tc>
      </w:tr>
      <w:tr>
        <w:tblPrEx>
          <w:tblCellMar>
            <w:top w:w="0" w:type="dxa"/>
            <w:left w:w="108" w:type="dxa"/>
            <w:bottom w:w="0" w:type="dxa"/>
            <w:right w:w="108" w:type="dxa"/>
          </w:tblCellMar>
        </w:tblPrEx>
        <w:trPr>
          <w:trHeight w:val="915"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2.项目实施内容及过程概述</w:t>
            </w:r>
          </w:p>
        </w:tc>
        <w:tc>
          <w:tcPr>
            <w:tcW w:w="8115" w:type="dxa"/>
            <w:gridSpan w:val="1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 xml:space="preserve"> 系省级科普专项资金上年结转。按照项目任务书，联手凉山电视台开展《凉山科普》彝汉双语播报；积极组织参予省第二届“科创会”，为保障天府科技云高速运转，引进第三方专业团队开展服务。夯实了凉山科普阵地建设，促进了科技成果加速转化、高新技术加速推广、科研难题加速攻克落地落实。</w:t>
            </w:r>
          </w:p>
        </w:tc>
      </w:tr>
      <w:tr>
        <w:tblPrEx>
          <w:tblCellMar>
            <w:top w:w="0" w:type="dxa"/>
            <w:left w:w="108" w:type="dxa"/>
            <w:bottom w:w="0" w:type="dxa"/>
            <w:right w:w="108" w:type="dxa"/>
          </w:tblCellMar>
        </w:tblPrEx>
        <w:trPr>
          <w:trHeight w:val="391" w:hRule="atLeast"/>
        </w:trPr>
        <w:tc>
          <w:tcPr>
            <w:tcW w:w="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预算执行情况（10分）</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年度预算数（万元）</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年初预算</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调整后预算数</w:t>
            </w: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预算执行数</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预算执行率</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3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原因</w:t>
            </w:r>
          </w:p>
        </w:tc>
      </w:tr>
      <w:tr>
        <w:tblPrEx>
          <w:tblCellMar>
            <w:top w:w="0" w:type="dxa"/>
            <w:left w:w="108" w:type="dxa"/>
            <w:bottom w:w="0" w:type="dxa"/>
            <w:right w:w="108" w:type="dxa"/>
          </w:tblCellMar>
        </w:tblPrEx>
        <w:trPr>
          <w:trHeight w:val="384"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总额</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46.17</w:t>
            </w: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46.17</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w:t>
            </w:r>
          </w:p>
        </w:tc>
        <w:tc>
          <w:tcPr>
            <w:tcW w:w="13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5"/>
                <w:szCs w:val="15"/>
              </w:rPr>
            </w:pPr>
            <w:r>
              <w:rPr>
                <w:rFonts w:hint="eastAsia" w:ascii="黑体" w:hAnsi="黑体" w:eastAsia="黑体" w:cs="黑体"/>
                <w:i/>
                <w:iCs/>
                <w:color w:val="000000"/>
                <w:kern w:val="0"/>
                <w:sz w:val="15"/>
                <w:szCs w:val="15"/>
              </w:rPr>
              <w:t>按照省级项目资金管理相关规定，年中州财政拨入上年结转省级科普专项资金46.17万元。</w:t>
            </w:r>
          </w:p>
        </w:tc>
      </w:tr>
      <w:tr>
        <w:tblPrEx>
          <w:tblCellMar>
            <w:top w:w="0" w:type="dxa"/>
            <w:left w:w="108" w:type="dxa"/>
            <w:bottom w:w="0" w:type="dxa"/>
            <w:right w:w="108" w:type="dxa"/>
          </w:tblCellMar>
        </w:tblPrEx>
        <w:trPr>
          <w:trHeight w:val="614"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其中：财政资金</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46.17</w:t>
            </w: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46.17</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100.00%</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35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614"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财政专户管理资金</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35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399"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单位资金</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0.00%</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35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427"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其他资金</w:t>
            </w:r>
          </w:p>
        </w:tc>
        <w:tc>
          <w:tcPr>
            <w:tcW w:w="626"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1021" w:type="dxa"/>
            <w:gridSpan w:val="5"/>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5"/>
                <w:szCs w:val="15"/>
              </w:rPr>
            </w:pP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135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5"/>
                <w:szCs w:val="15"/>
              </w:rPr>
            </w:pPr>
          </w:p>
        </w:tc>
      </w:tr>
      <w:tr>
        <w:tblPrEx>
          <w:tblCellMar>
            <w:top w:w="0" w:type="dxa"/>
            <w:left w:w="108" w:type="dxa"/>
            <w:bottom w:w="0" w:type="dxa"/>
            <w:right w:w="108" w:type="dxa"/>
          </w:tblCellMar>
        </w:tblPrEx>
        <w:trPr>
          <w:trHeight w:val="614" w:hRule="atLeast"/>
        </w:trPr>
        <w:tc>
          <w:tcPr>
            <w:tcW w:w="6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绩效指标（90分）</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一级指标</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二级指标</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三级指标</w:t>
            </w:r>
          </w:p>
        </w:tc>
        <w:tc>
          <w:tcPr>
            <w:tcW w:w="28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指标性质</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指标值</w:t>
            </w:r>
          </w:p>
        </w:tc>
        <w:tc>
          <w:tcPr>
            <w:tcW w:w="3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度量单位</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完成值</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3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2406" w:hRule="atLeast"/>
        </w:trPr>
        <w:tc>
          <w:tcPr>
            <w:tcW w:w="64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5"/>
                <w:szCs w:val="15"/>
              </w:rPr>
            </w:pP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综合指标</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综合指标</w:t>
            </w:r>
          </w:p>
        </w:tc>
        <w:tc>
          <w:tcPr>
            <w:tcW w:w="329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《科普凉山》采编科技致富带头栏目、乡村振兴栏目40余期在凉山电视台双语播报；科协系统全体工作人员及引进第三方专业团队对天府科技云实施一对一“保姆式”服务，2022年全州共计发布所能2391单、所需2718 单、科技成果40单、科研项目59单，共达成交易订单2655 笔，合计超过2亿元；第二届科创会上凉山征集项目共计138项入选专场。项目惠及全州干群，切实以科普助力乡村振兴、科技服务广大科技工作者、企事业单位、人民群众，为精准科技、创新驱动发展打下坚实基础，助推了凉山经济社会发展。可持续影响3年以上。服务对象满意度可达90%以上。</w:t>
            </w:r>
          </w:p>
        </w:tc>
        <w:tc>
          <w:tcPr>
            <w:tcW w:w="28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36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90</w:t>
            </w:r>
          </w:p>
        </w:tc>
        <w:tc>
          <w:tcPr>
            <w:tcW w:w="3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分</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90</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90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86</w:t>
            </w:r>
          </w:p>
        </w:tc>
        <w:tc>
          <w:tcPr>
            <w:tcW w:w="13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前期支付较慢，扣</w:t>
            </w:r>
            <w:r>
              <w:rPr>
                <w:rFonts w:hint="eastAsia" w:ascii="微软雅黑" w:hAnsi="微软雅黑" w:eastAsia="微软雅黑" w:cs="微软雅黑"/>
                <w:i/>
                <w:iCs/>
                <w:color w:val="000000"/>
                <w:kern w:val="0"/>
                <w:sz w:val="15"/>
                <w:szCs w:val="15"/>
                <w:lang w:val="en-US" w:eastAsia="zh-CN"/>
              </w:rPr>
              <w:t>2分；</w:t>
            </w:r>
            <w:r>
              <w:rPr>
                <w:rFonts w:hint="eastAsia" w:ascii="微软雅黑" w:hAnsi="微软雅黑" w:eastAsia="微软雅黑" w:cs="微软雅黑"/>
                <w:i/>
                <w:iCs/>
                <w:color w:val="000000"/>
                <w:kern w:val="0"/>
                <w:sz w:val="15"/>
                <w:szCs w:val="15"/>
                <w:lang w:eastAsia="zh-CN"/>
              </w:rPr>
              <w:t>满意度达不到</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trHeight w:val="494" w:hRule="atLeast"/>
        </w:trPr>
        <w:tc>
          <w:tcPr>
            <w:tcW w:w="7139"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合计</w:t>
            </w:r>
          </w:p>
        </w:tc>
        <w:tc>
          <w:tcPr>
            <w:tcW w:w="4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100</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hint="default" w:ascii="宋体" w:hAnsi="宋体" w:eastAsia="宋体" w:cs="宋体"/>
                <w:color w:val="000000"/>
                <w:sz w:val="15"/>
                <w:szCs w:val="15"/>
                <w:lang w:val="en-US" w:eastAsia="zh-CN"/>
              </w:rPr>
            </w:pPr>
            <w:r>
              <w:rPr>
                <w:rFonts w:hint="eastAsia" w:ascii="宋体" w:hAnsi="宋体" w:cs="宋体"/>
                <w:color w:val="000000"/>
                <w:kern w:val="0"/>
                <w:sz w:val="15"/>
                <w:szCs w:val="15"/>
                <w:lang w:val="en-US" w:eastAsia="zh-CN"/>
              </w:rPr>
              <w:t>96</w:t>
            </w:r>
          </w:p>
        </w:tc>
        <w:tc>
          <w:tcPr>
            <w:tcW w:w="1353"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5"/>
                <w:szCs w:val="15"/>
              </w:rPr>
            </w:pPr>
          </w:p>
        </w:tc>
      </w:tr>
      <w:tr>
        <w:tblPrEx>
          <w:tblCellMar>
            <w:top w:w="0" w:type="dxa"/>
            <w:left w:w="108" w:type="dxa"/>
            <w:bottom w:w="0" w:type="dxa"/>
            <w:right w:w="108" w:type="dxa"/>
          </w:tblCellMar>
        </w:tblPrEx>
        <w:trPr>
          <w:trHeight w:val="915"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评价结论</w:t>
            </w:r>
          </w:p>
        </w:tc>
        <w:tc>
          <w:tcPr>
            <w:tcW w:w="8925" w:type="dxa"/>
            <w:gridSpan w:val="2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年度内完成了《科普凉山》采编科技致富带头栏目、乡村振兴栏目40余期；对天府科技云实施一对一“保姆式”服务，取得了达成交易订单2655 笔，合计超过2亿元等好成绩；第二届科创会上凉山征集项目共计138项入选专场。项目惠及全州干群，科普助力乡村振兴、科技创新助推凉山经济社会发展。服务对象满意度可达90%以上。从产出、效益、满意度等指标等进行了综合评价，预算执行率100%，执行情况良好，自评得分</w:t>
            </w:r>
            <w:r>
              <w:rPr>
                <w:rFonts w:hint="eastAsia" w:ascii="微软雅黑" w:hAnsi="微软雅黑" w:eastAsia="微软雅黑" w:cs="微软雅黑"/>
                <w:i/>
                <w:iCs/>
                <w:color w:val="000000"/>
                <w:kern w:val="0"/>
                <w:sz w:val="15"/>
                <w:szCs w:val="15"/>
                <w:lang w:val="en-US" w:eastAsia="zh-CN"/>
              </w:rPr>
              <w:t>96</w:t>
            </w:r>
            <w:r>
              <w:rPr>
                <w:rFonts w:hint="eastAsia" w:ascii="微软雅黑" w:hAnsi="微软雅黑" w:eastAsia="微软雅黑" w:cs="微软雅黑"/>
                <w:i/>
                <w:iCs/>
                <w:color w:val="000000"/>
                <w:kern w:val="0"/>
                <w:sz w:val="15"/>
                <w:szCs w:val="15"/>
              </w:rPr>
              <w:t>分。</w:t>
            </w:r>
          </w:p>
        </w:tc>
      </w:tr>
      <w:tr>
        <w:tblPrEx>
          <w:tblCellMar>
            <w:top w:w="0" w:type="dxa"/>
            <w:left w:w="108" w:type="dxa"/>
            <w:bottom w:w="0" w:type="dxa"/>
            <w:right w:w="108" w:type="dxa"/>
          </w:tblCellMar>
        </w:tblPrEx>
        <w:trPr>
          <w:trHeight w:val="614"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存在问题</w:t>
            </w:r>
          </w:p>
        </w:tc>
        <w:tc>
          <w:tcPr>
            <w:tcW w:w="8925" w:type="dxa"/>
            <w:gridSpan w:val="2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449" w:hRule="atLeast"/>
        </w:trPr>
        <w:tc>
          <w:tcPr>
            <w:tcW w:w="64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改进措施</w:t>
            </w:r>
          </w:p>
        </w:tc>
        <w:tc>
          <w:tcPr>
            <w:tcW w:w="8925" w:type="dxa"/>
            <w:gridSpan w:val="2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522" w:hRule="atLeast"/>
        </w:trPr>
        <w:tc>
          <w:tcPr>
            <w:tcW w:w="5663"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项目负责人：凌静、赵菲</w:t>
            </w:r>
          </w:p>
        </w:tc>
        <w:tc>
          <w:tcPr>
            <w:tcW w:w="3904"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财务负责人：毛正华</w:t>
            </w:r>
          </w:p>
        </w:tc>
      </w:tr>
    </w:tbl>
    <w:p/>
    <w:p/>
    <w:tbl>
      <w:tblPr>
        <w:tblStyle w:val="18"/>
        <w:tblW w:w="9766" w:type="dxa"/>
        <w:tblInd w:w="-332" w:type="dxa"/>
        <w:tblLayout w:type="fixed"/>
        <w:tblCellMar>
          <w:top w:w="0" w:type="dxa"/>
          <w:left w:w="108" w:type="dxa"/>
          <w:bottom w:w="0" w:type="dxa"/>
          <w:right w:w="108" w:type="dxa"/>
        </w:tblCellMar>
      </w:tblPr>
      <w:tblGrid>
        <w:gridCol w:w="425"/>
        <w:gridCol w:w="350"/>
        <w:gridCol w:w="283"/>
        <w:gridCol w:w="772"/>
        <w:gridCol w:w="8"/>
        <w:gridCol w:w="624"/>
        <w:gridCol w:w="100"/>
        <w:gridCol w:w="2388"/>
        <w:gridCol w:w="262"/>
        <w:gridCol w:w="164"/>
        <w:gridCol w:w="51"/>
        <w:gridCol w:w="160"/>
        <w:gridCol w:w="224"/>
        <w:gridCol w:w="201"/>
        <w:gridCol w:w="237"/>
        <w:gridCol w:w="63"/>
        <w:gridCol w:w="21"/>
        <w:gridCol w:w="846"/>
        <w:gridCol w:w="75"/>
        <w:gridCol w:w="21"/>
        <w:gridCol w:w="437"/>
        <w:gridCol w:w="83"/>
        <w:gridCol w:w="21"/>
        <w:gridCol w:w="429"/>
        <w:gridCol w:w="91"/>
        <w:gridCol w:w="1329"/>
        <w:gridCol w:w="80"/>
        <w:gridCol w:w="21"/>
      </w:tblGrid>
      <w:tr>
        <w:tblPrEx>
          <w:tblCellMar>
            <w:top w:w="0" w:type="dxa"/>
            <w:left w:w="108" w:type="dxa"/>
            <w:bottom w:w="0" w:type="dxa"/>
            <w:right w:w="108" w:type="dxa"/>
          </w:tblCellMar>
        </w:tblPrEx>
        <w:trPr>
          <w:gridAfter w:val="1"/>
          <w:wAfter w:w="21" w:type="dxa"/>
          <w:trHeight w:val="573" w:hRule="atLeast"/>
        </w:trPr>
        <w:tc>
          <w:tcPr>
            <w:tcW w:w="9745" w:type="dxa"/>
            <w:gridSpan w:val="2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After w:val="1"/>
          <w:wAfter w:w="21" w:type="dxa"/>
          <w:trHeight w:val="340" w:hRule="atLeast"/>
        </w:trPr>
        <w:tc>
          <w:tcPr>
            <w:tcW w:w="183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907"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51340022T000005849396-人才发展专项</w:t>
            </w:r>
          </w:p>
        </w:tc>
      </w:tr>
      <w:tr>
        <w:tblPrEx>
          <w:tblCellMar>
            <w:top w:w="0" w:type="dxa"/>
            <w:left w:w="108" w:type="dxa"/>
            <w:bottom w:w="0" w:type="dxa"/>
            <w:right w:w="108" w:type="dxa"/>
          </w:tblCellMar>
        </w:tblPrEx>
        <w:trPr>
          <w:gridAfter w:val="1"/>
          <w:wAfter w:w="21" w:type="dxa"/>
          <w:trHeight w:val="420" w:hRule="atLeast"/>
        </w:trPr>
        <w:tc>
          <w:tcPr>
            <w:tcW w:w="183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474"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942" w:type="dxa"/>
            <w:gridSpan w:val="3"/>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491"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After w:val="1"/>
          <w:wAfter w:w="21" w:type="dxa"/>
          <w:trHeight w:val="340" w:hRule="atLeast"/>
        </w:trPr>
        <w:tc>
          <w:tcPr>
            <w:tcW w:w="7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6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474"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433"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After w:val="1"/>
          <w:wAfter w:w="21" w:type="dxa"/>
          <w:trHeight w:val="1358"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63"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4474"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主要用于计划支持50名，每年遴选一批，每批5名左右的科技前沿，在科学技术或工程技术领域作出系统的或重大的、创造性的成绩和贡献的科技工作者和工程技术专家。对凉山杰出科技工作者入选者，一次性给予每人8—10万元资助。共计50万元；另后补顶岗实习生活补助1人，共计3万元。</w:t>
            </w:r>
          </w:p>
        </w:tc>
        <w:tc>
          <w:tcPr>
            <w:tcW w:w="3433"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年度内完成了遴选5名在科学技术或工程技术领域作出系统的或重大的、创造性的成绩和贡献的科技工作者入选者，一次性给予每人10万元资助，共计50万元；另后补顶岗实习生活补助1人，共计3万元。</w:t>
            </w:r>
          </w:p>
        </w:tc>
      </w:tr>
      <w:tr>
        <w:tblPrEx>
          <w:tblCellMar>
            <w:top w:w="0" w:type="dxa"/>
            <w:left w:w="108" w:type="dxa"/>
            <w:bottom w:w="0" w:type="dxa"/>
            <w:right w:w="108" w:type="dxa"/>
          </w:tblCellMar>
        </w:tblPrEx>
        <w:trPr>
          <w:gridAfter w:val="1"/>
          <w:wAfter w:w="21" w:type="dxa"/>
          <w:trHeight w:val="1313"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907"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Style w:val="40"/>
              </w:rPr>
              <w:t>年中州财政局以凉财教（2022）5号拨入州级科普资金53万元。我们严格按照凉组通[2020]</w:t>
            </w:r>
            <w:r>
              <w:rPr>
                <w:rStyle w:val="41"/>
              </w:rPr>
              <w:t>54号《中共凉山州委组织部 中共凉山州委宣传部等12部门印发&lt;凉山州“菁英计划”实施办法&gt;》的通知精神和程序评选出“菁英计划”人才5人，6月并报经州委组织部核批，对凉山州农业农村局、州第二人民医院、州农科院、西昌学院、州疾控中心杰出科技工作者入选者给予10万元/人*5人=50万元；用于顶岗实习生活补助3万元，</w:t>
            </w:r>
            <w:r>
              <w:rPr>
                <w:rStyle w:val="40"/>
              </w:rPr>
              <w:t>共计支出53万元。项目的实施加快培养了一支“凉山牌”急需紧缺高层次人才队伍，推动了凉山经济社会发展现实需求。</w:t>
            </w:r>
          </w:p>
        </w:tc>
      </w:tr>
      <w:tr>
        <w:tblPrEx>
          <w:tblCellMar>
            <w:top w:w="0" w:type="dxa"/>
            <w:left w:w="108" w:type="dxa"/>
            <w:bottom w:w="0" w:type="dxa"/>
            <w:right w:w="108" w:type="dxa"/>
          </w:tblCellMar>
        </w:tblPrEx>
        <w:trPr>
          <w:gridAfter w:val="1"/>
          <w:wAfter w:w="21" w:type="dxa"/>
          <w:trHeight w:val="408" w:hRule="atLeast"/>
        </w:trPr>
        <w:tc>
          <w:tcPr>
            <w:tcW w:w="7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After w:val="1"/>
          <w:wAfter w:w="21" w:type="dxa"/>
          <w:trHeight w:val="416"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53.00</w:t>
            </w: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53.00</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0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年中州财政局以凉财教（2022）5号拨入州级科普资金53万元，用于“菁英计划”人才奖补。预算执行率100%</w:t>
            </w:r>
          </w:p>
        </w:tc>
      </w:tr>
      <w:tr>
        <w:tblPrEx>
          <w:tblCellMar>
            <w:top w:w="0" w:type="dxa"/>
            <w:left w:w="108" w:type="dxa"/>
            <w:bottom w:w="0" w:type="dxa"/>
            <w:right w:w="108" w:type="dxa"/>
          </w:tblCellMar>
        </w:tblPrEx>
        <w:trPr>
          <w:gridAfter w:val="1"/>
          <w:wAfter w:w="21" w:type="dxa"/>
          <w:trHeight w:val="660"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53.00</w:t>
            </w: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53.00</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1" w:type="dxa"/>
          <w:trHeight w:val="420"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1" w:type="dxa"/>
          <w:trHeight w:val="432"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21" w:type="dxa"/>
          <w:trHeight w:val="185"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100" w:type="dxa"/>
            <w:gridSpan w:val="7"/>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0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795" w:hRule="atLeast"/>
        </w:trPr>
        <w:tc>
          <w:tcPr>
            <w:tcW w:w="77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37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32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3020" w:hRule="atLeast"/>
        </w:trPr>
        <w:tc>
          <w:tcPr>
            <w:tcW w:w="77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6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综合指标</w:t>
            </w:r>
          </w:p>
        </w:tc>
        <w:tc>
          <w:tcPr>
            <w:tcW w:w="6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综合指标</w:t>
            </w:r>
          </w:p>
        </w:tc>
        <w:tc>
          <w:tcPr>
            <w:tcW w:w="27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严格按照凉组通[2020]54号《中共凉山州委组织部 中共凉山州委宣传部等12部门印发&lt;凉山州“菁英计划”实施办法&gt;》的通知精神和程序评选出“菁英计划”人才5人。6月并报经州委组织部核批，对杰出科技工作者入选人给予10万元/人*5人=50万元；用于顶岗实习生活补助3万元，共计支出53万元。项目的实施加快培养了一支“凉山牌”急需紧缺高层次人才队伍，推动了凉山经济社会发展现实需求。可持续影响3年以上。政府各部门及企事业等服务对象满意度可达95%左右。</w:t>
            </w:r>
          </w:p>
        </w:tc>
        <w:tc>
          <w:tcPr>
            <w:tcW w:w="37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32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分</w:t>
            </w:r>
          </w:p>
        </w:tc>
        <w:tc>
          <w:tcPr>
            <w:tcW w:w="94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86</w:t>
            </w:r>
          </w:p>
        </w:tc>
        <w:tc>
          <w:tcPr>
            <w:tcW w:w="14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5"/>
                <w:szCs w:val="15"/>
                <w:lang w:eastAsia="zh-CN"/>
              </w:rPr>
              <w:t>前期支付较慢，扣</w:t>
            </w:r>
            <w:r>
              <w:rPr>
                <w:rFonts w:hint="eastAsia" w:ascii="微软雅黑" w:hAnsi="微软雅黑" w:eastAsia="微软雅黑" w:cs="微软雅黑"/>
                <w:i/>
                <w:iCs/>
                <w:color w:val="000000"/>
                <w:kern w:val="0"/>
                <w:sz w:val="15"/>
                <w:szCs w:val="15"/>
                <w:lang w:val="en-US" w:eastAsia="zh-CN"/>
              </w:rPr>
              <w:t>2分；</w:t>
            </w:r>
            <w:r>
              <w:rPr>
                <w:rFonts w:hint="eastAsia" w:ascii="微软雅黑" w:hAnsi="微软雅黑" w:eastAsia="微软雅黑" w:cs="微软雅黑"/>
                <w:i/>
                <w:iCs/>
                <w:color w:val="000000"/>
                <w:kern w:val="0"/>
                <w:sz w:val="15"/>
                <w:szCs w:val="15"/>
                <w:lang w:eastAsia="zh-CN"/>
              </w:rPr>
              <w:t>满意度达不到</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gridAfter w:val="1"/>
          <w:wAfter w:w="21" w:type="dxa"/>
          <w:trHeight w:val="340" w:hRule="atLeast"/>
        </w:trPr>
        <w:tc>
          <w:tcPr>
            <w:tcW w:w="7254" w:type="dxa"/>
            <w:gridSpan w:val="1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96</w:t>
            </w:r>
          </w:p>
        </w:tc>
        <w:tc>
          <w:tcPr>
            <w:tcW w:w="1409"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After w:val="1"/>
          <w:wAfter w:w="21" w:type="dxa"/>
          <w:trHeight w:val="978" w:hRule="atLeast"/>
        </w:trPr>
        <w:tc>
          <w:tcPr>
            <w:tcW w:w="7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970" w:type="dxa"/>
            <w:gridSpan w:val="2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严格按照凉组通[2020]54号的通知精神和程序评选出“菁英计划”人才5人。6月并报经州委组织部核批，对杰出科技工作者入选人给予10万元/人*5人=50万元；用于顶岗实习生活补助3万元。项目的实施加快培养了一支“凉山牌”急需紧缺高层次人才队伍，推动了凉山经济社会发展现实需求。政府各部门及企事业满意度可达95%左右。从产出、效益、满意度指标等进行了综合评价，预算执行率100%，执行情况良好，自评得分</w:t>
            </w:r>
            <w:r>
              <w:rPr>
                <w:rFonts w:hint="eastAsia" w:ascii="微软雅黑" w:hAnsi="微软雅黑" w:eastAsia="微软雅黑" w:cs="微软雅黑"/>
                <w:i/>
                <w:iCs/>
                <w:color w:val="000000"/>
                <w:kern w:val="0"/>
                <w:sz w:val="18"/>
                <w:szCs w:val="18"/>
                <w:lang w:val="en-US" w:eastAsia="zh-CN"/>
              </w:rPr>
              <w:t>96</w:t>
            </w:r>
            <w:r>
              <w:rPr>
                <w:rFonts w:hint="eastAsia" w:ascii="微软雅黑" w:hAnsi="微软雅黑" w:eastAsia="微软雅黑" w:cs="微软雅黑"/>
                <w:i/>
                <w:iCs/>
                <w:color w:val="000000"/>
                <w:kern w:val="0"/>
                <w:sz w:val="18"/>
                <w:szCs w:val="18"/>
              </w:rPr>
              <w:t>分。</w:t>
            </w:r>
          </w:p>
        </w:tc>
      </w:tr>
      <w:tr>
        <w:tblPrEx>
          <w:tblCellMar>
            <w:top w:w="0" w:type="dxa"/>
            <w:left w:w="108" w:type="dxa"/>
            <w:bottom w:w="0" w:type="dxa"/>
            <w:right w:w="108" w:type="dxa"/>
          </w:tblCellMar>
        </w:tblPrEx>
        <w:trPr>
          <w:gridAfter w:val="1"/>
          <w:wAfter w:w="21" w:type="dxa"/>
          <w:trHeight w:val="463" w:hRule="atLeast"/>
        </w:trPr>
        <w:tc>
          <w:tcPr>
            <w:tcW w:w="7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970" w:type="dxa"/>
            <w:gridSpan w:val="2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 xml:space="preserve">无 </w:t>
            </w:r>
          </w:p>
        </w:tc>
      </w:tr>
      <w:tr>
        <w:tblPrEx>
          <w:tblCellMar>
            <w:top w:w="0" w:type="dxa"/>
            <w:left w:w="108" w:type="dxa"/>
            <w:bottom w:w="0" w:type="dxa"/>
            <w:right w:w="108" w:type="dxa"/>
          </w:tblCellMar>
        </w:tblPrEx>
        <w:trPr>
          <w:gridAfter w:val="1"/>
          <w:wAfter w:w="21" w:type="dxa"/>
          <w:trHeight w:val="668" w:hRule="atLeast"/>
        </w:trPr>
        <w:tc>
          <w:tcPr>
            <w:tcW w:w="7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970" w:type="dxa"/>
            <w:gridSpan w:val="2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 xml:space="preserve">无 </w:t>
            </w:r>
          </w:p>
        </w:tc>
      </w:tr>
      <w:tr>
        <w:tblPrEx>
          <w:tblCellMar>
            <w:top w:w="0" w:type="dxa"/>
            <w:left w:w="108" w:type="dxa"/>
            <w:bottom w:w="0" w:type="dxa"/>
            <w:right w:w="108" w:type="dxa"/>
          </w:tblCellMar>
        </w:tblPrEx>
        <w:trPr>
          <w:gridAfter w:val="1"/>
          <w:wAfter w:w="21" w:type="dxa"/>
          <w:trHeight w:val="553" w:hRule="atLeast"/>
        </w:trPr>
        <w:tc>
          <w:tcPr>
            <w:tcW w:w="5427"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项目负责人：吴家英</w:t>
            </w:r>
          </w:p>
        </w:tc>
        <w:tc>
          <w:tcPr>
            <w:tcW w:w="4318"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gridBefore w:val="1"/>
          <w:gridAfter w:val="2"/>
          <w:wBefore w:w="425" w:type="dxa"/>
          <w:wAfter w:w="101" w:type="dxa"/>
          <w:trHeight w:val="309" w:hRule="atLeast"/>
        </w:trPr>
        <w:tc>
          <w:tcPr>
            <w:tcW w:w="9240" w:type="dxa"/>
            <w:gridSpan w:val="2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Before w:val="1"/>
          <w:gridAfter w:val="2"/>
          <w:wBefore w:w="425" w:type="dxa"/>
          <w:wAfter w:w="101" w:type="dxa"/>
          <w:trHeight w:val="327" w:hRule="atLeast"/>
        </w:trPr>
        <w:tc>
          <w:tcPr>
            <w:tcW w:w="140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7835" w:type="dxa"/>
            <w:gridSpan w:val="2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51340022T000007387604-院士（专家）工作站</w:t>
            </w:r>
          </w:p>
        </w:tc>
      </w:tr>
      <w:tr>
        <w:tblPrEx>
          <w:tblCellMar>
            <w:top w:w="0" w:type="dxa"/>
            <w:left w:w="108" w:type="dxa"/>
            <w:bottom w:w="0" w:type="dxa"/>
            <w:right w:w="108" w:type="dxa"/>
          </w:tblCellMar>
        </w:tblPrEx>
        <w:trPr>
          <w:gridBefore w:val="1"/>
          <w:gridAfter w:val="2"/>
          <w:wBefore w:w="425" w:type="dxa"/>
          <w:wAfter w:w="101" w:type="dxa"/>
          <w:trHeight w:val="635" w:hRule="atLeast"/>
        </w:trPr>
        <w:tc>
          <w:tcPr>
            <w:tcW w:w="140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41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930" w:type="dxa"/>
            <w:gridSpan w:val="3"/>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48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Before w:val="1"/>
          <w:gridAfter w:val="2"/>
          <w:wBefore w:w="425" w:type="dxa"/>
          <w:wAfter w:w="101" w:type="dxa"/>
          <w:trHeight w:val="327" w:hRule="atLeast"/>
        </w:trPr>
        <w:tc>
          <w:tcPr>
            <w:tcW w:w="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41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416"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Before w:val="1"/>
          <w:gridAfter w:val="2"/>
          <w:wBefore w:w="425" w:type="dxa"/>
          <w:wAfter w:w="101" w:type="dxa"/>
          <w:trHeight w:val="1348"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4419"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为推动人才强州，经州委组织部、州财政局、州科技局、州科协等8个部门修订了《凉山州院士（专家）工作站实施办法》（凉组通［2021］98号）文件精神，2022年拟建2-3个专家工作站，需资金65万元左右，资金得到州财政局支持，其中州财政列入2022年度科技计划项目资金50万元，州科协科普专项资金中统筹15万元。</w:t>
            </w:r>
          </w:p>
        </w:tc>
        <w:tc>
          <w:tcPr>
            <w:tcW w:w="3416"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12月经州委组织部、财政局、科协等等8个部门核批，完成了创建了3个专家工作站，并依照文件规定补助了3个建站单位专项资金60万元，资金得到州财政局支持，其中州财政列入2022年度科技计划项目资金50万元，州科协州级科普专项资金中统筹10万元。</w:t>
            </w:r>
          </w:p>
        </w:tc>
      </w:tr>
      <w:tr>
        <w:tblPrEx>
          <w:tblCellMar>
            <w:top w:w="0" w:type="dxa"/>
            <w:left w:w="108" w:type="dxa"/>
            <w:bottom w:w="0" w:type="dxa"/>
            <w:right w:w="108" w:type="dxa"/>
          </w:tblCellMar>
        </w:tblPrEx>
        <w:trPr>
          <w:gridBefore w:val="1"/>
          <w:gridAfter w:val="2"/>
          <w:wBefore w:w="425" w:type="dxa"/>
          <w:wAfter w:w="101" w:type="dxa"/>
          <w:trHeight w:val="1043"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7835" w:type="dxa"/>
            <w:gridSpan w:val="2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2022年12月经州委组织部、财政局、科协等8个部门核批，并在州科协网站上进行公示，实施完成了创建3个专家工作站，并依照文件规定补助了会东县供销社和茧丝绸发展公司、攀钢集团西昌钢钛公司、（会理）四川德乾农业开发公司3个建站单位每个20万元，共计60万元。资金得到州财政局支持，其中州财政列入2022年度科技计划项目资金50万元，州科协州级科普专项资金中统筹10万元。</w:t>
            </w:r>
          </w:p>
        </w:tc>
      </w:tr>
      <w:tr>
        <w:tblPrEx>
          <w:tblCellMar>
            <w:top w:w="0" w:type="dxa"/>
            <w:left w:w="108" w:type="dxa"/>
            <w:bottom w:w="0" w:type="dxa"/>
            <w:right w:w="108" w:type="dxa"/>
          </w:tblCellMar>
        </w:tblPrEx>
        <w:trPr>
          <w:gridBefore w:val="1"/>
          <w:gridAfter w:val="2"/>
          <w:wBefore w:w="425" w:type="dxa"/>
          <w:wAfter w:w="101" w:type="dxa"/>
          <w:trHeight w:val="699" w:hRule="atLeast"/>
        </w:trPr>
        <w:tc>
          <w:tcPr>
            <w:tcW w:w="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Before w:val="1"/>
          <w:gridAfter w:val="2"/>
          <w:wBefore w:w="425" w:type="dxa"/>
          <w:wAfter w:w="101" w:type="dxa"/>
          <w:trHeight w:val="401"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42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年中州财政局以凉财教（2022）101号追拨院士（专家）工作站科技计划项目资金50万元用于建站经费补助。预算执行率100%。</w:t>
            </w:r>
          </w:p>
        </w:tc>
      </w:tr>
      <w:tr>
        <w:tblPrEx>
          <w:tblCellMar>
            <w:top w:w="0" w:type="dxa"/>
            <w:left w:w="108" w:type="dxa"/>
            <w:bottom w:w="0" w:type="dxa"/>
            <w:right w:w="108" w:type="dxa"/>
          </w:tblCellMar>
        </w:tblPrEx>
        <w:trPr>
          <w:gridBefore w:val="1"/>
          <w:gridAfter w:val="2"/>
          <w:wBefore w:w="425" w:type="dxa"/>
          <w:wAfter w:w="101" w:type="dxa"/>
          <w:trHeight w:val="525"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50.00</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2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1"/>
          <w:gridAfter w:val="2"/>
          <w:wBefore w:w="425" w:type="dxa"/>
          <w:wAfter w:w="101" w:type="dxa"/>
          <w:trHeight w:val="576"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2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1"/>
          <w:gridAfter w:val="2"/>
          <w:wBefore w:w="425" w:type="dxa"/>
          <w:wAfter w:w="101" w:type="dxa"/>
          <w:trHeight w:val="416"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2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1"/>
          <w:gridAfter w:val="2"/>
          <w:wBefore w:w="425" w:type="dxa"/>
          <w:wAfter w:w="101" w:type="dxa"/>
          <w:trHeight w:val="393"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2388"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1299" w:type="dxa"/>
            <w:gridSpan w:val="7"/>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42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Before w:val="1"/>
          <w:gridAfter w:val="2"/>
          <w:wBefore w:w="425" w:type="dxa"/>
          <w:wAfter w:w="101" w:type="dxa"/>
          <w:trHeight w:val="585" w:hRule="atLeast"/>
        </w:trPr>
        <w:tc>
          <w:tcPr>
            <w:tcW w:w="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4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4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gridBefore w:val="1"/>
          <w:gridAfter w:val="2"/>
          <w:wBefore w:w="425" w:type="dxa"/>
          <w:wAfter w:w="101" w:type="dxa"/>
          <w:trHeight w:val="2702" w:hRule="atLeast"/>
        </w:trPr>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综合指标</w:t>
            </w:r>
          </w:p>
        </w:tc>
        <w:tc>
          <w:tcPr>
            <w:tcW w:w="73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综合指标</w:t>
            </w:r>
          </w:p>
        </w:tc>
        <w:tc>
          <w:tcPr>
            <w:tcW w:w="23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为深入实施人才强州战略，2022年12月经州委组织部财政局科协等8个部门核批，并在州科协网站上进行公示，利用州级科技科普专项资金60万元，实施完成了创建3个专家工作站的任务。项目的实施能够促进技术攻关和科技成果转移转化，助推凉山经济高质量发展。可持续影响3年以上。政府各部门及企事业等服务对象满意度可达95%左右。</w:t>
            </w:r>
          </w:p>
        </w:tc>
        <w:tc>
          <w:tcPr>
            <w:tcW w:w="4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3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4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分</w:t>
            </w:r>
          </w:p>
        </w:tc>
        <w:tc>
          <w:tcPr>
            <w:tcW w:w="93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86</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5"/>
                <w:szCs w:val="15"/>
                <w:lang w:eastAsia="zh-CN"/>
              </w:rPr>
              <w:t>前期支付较慢，扣</w:t>
            </w:r>
            <w:r>
              <w:rPr>
                <w:rFonts w:hint="eastAsia" w:ascii="微软雅黑" w:hAnsi="微软雅黑" w:eastAsia="微软雅黑" w:cs="微软雅黑"/>
                <w:i/>
                <w:iCs/>
                <w:color w:val="000000"/>
                <w:kern w:val="0"/>
                <w:sz w:val="15"/>
                <w:szCs w:val="15"/>
                <w:lang w:val="en-US" w:eastAsia="zh-CN"/>
              </w:rPr>
              <w:t>2分；</w:t>
            </w:r>
            <w:r>
              <w:rPr>
                <w:rFonts w:hint="eastAsia" w:ascii="微软雅黑" w:hAnsi="微软雅黑" w:eastAsia="微软雅黑" w:cs="微软雅黑"/>
                <w:i/>
                <w:iCs/>
                <w:color w:val="000000"/>
                <w:kern w:val="0"/>
                <w:sz w:val="15"/>
                <w:szCs w:val="15"/>
                <w:lang w:eastAsia="zh-CN"/>
              </w:rPr>
              <w:t>满意度达不到</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gridBefore w:val="1"/>
          <w:gridAfter w:val="2"/>
          <w:wBefore w:w="425" w:type="dxa"/>
          <w:wAfter w:w="101" w:type="dxa"/>
          <w:trHeight w:val="367" w:hRule="atLeast"/>
        </w:trPr>
        <w:tc>
          <w:tcPr>
            <w:tcW w:w="6754" w:type="dxa"/>
            <w:gridSpan w:val="1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96</w:t>
            </w:r>
          </w:p>
        </w:tc>
        <w:tc>
          <w:tcPr>
            <w:tcW w:w="1420"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Before w:val="1"/>
          <w:gridAfter w:val="2"/>
          <w:wBefore w:w="425" w:type="dxa"/>
          <w:wAfter w:w="101" w:type="dxa"/>
          <w:trHeight w:val="943" w:hRule="atLeast"/>
        </w:trPr>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8607"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为深入实施人才强州战略，经州委组织部财政局科协等8个部门核批，并在州科协网站上进行公示，利用州级科技科普专项资金60万元，实施完成了创建3个专家工作站的任务。项目的实施能够促进技术攻关和科技成果转移转化，助推凉山经济高质量发展。政府各部门及企事业等服务对象满意度可达95%左右。从产出、效益、满意度等指标进行了综合评价，预算执行率100%，执行情况良好，自评得分</w:t>
            </w:r>
            <w:r>
              <w:rPr>
                <w:rFonts w:hint="eastAsia" w:ascii="微软雅黑" w:hAnsi="微软雅黑" w:eastAsia="微软雅黑" w:cs="微软雅黑"/>
                <w:i/>
                <w:iCs/>
                <w:color w:val="000000"/>
                <w:kern w:val="0"/>
                <w:sz w:val="16"/>
                <w:szCs w:val="16"/>
                <w:lang w:val="en-US" w:eastAsia="zh-CN"/>
              </w:rPr>
              <w:t>96</w:t>
            </w:r>
            <w:r>
              <w:rPr>
                <w:rFonts w:hint="eastAsia" w:ascii="微软雅黑" w:hAnsi="微软雅黑" w:eastAsia="微软雅黑" w:cs="微软雅黑"/>
                <w:i/>
                <w:iCs/>
                <w:color w:val="000000"/>
                <w:kern w:val="0"/>
                <w:sz w:val="16"/>
                <w:szCs w:val="16"/>
              </w:rPr>
              <w:t>分。</w:t>
            </w:r>
          </w:p>
        </w:tc>
      </w:tr>
      <w:tr>
        <w:tblPrEx>
          <w:tblCellMar>
            <w:top w:w="0" w:type="dxa"/>
            <w:left w:w="108" w:type="dxa"/>
            <w:bottom w:w="0" w:type="dxa"/>
            <w:right w:w="108" w:type="dxa"/>
          </w:tblCellMar>
        </w:tblPrEx>
        <w:trPr>
          <w:gridBefore w:val="1"/>
          <w:gridAfter w:val="2"/>
          <w:wBefore w:w="425" w:type="dxa"/>
          <w:wAfter w:w="101" w:type="dxa"/>
          <w:trHeight w:val="425" w:hRule="atLeast"/>
        </w:trPr>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8607"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gridBefore w:val="1"/>
          <w:gridAfter w:val="2"/>
          <w:wBefore w:w="425" w:type="dxa"/>
          <w:wAfter w:w="101" w:type="dxa"/>
          <w:trHeight w:val="421" w:hRule="atLeast"/>
        </w:trPr>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607" w:type="dxa"/>
            <w:gridSpan w:val="2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gridBefore w:val="1"/>
          <w:gridAfter w:val="2"/>
          <w:wBefore w:w="425" w:type="dxa"/>
          <w:wAfter w:w="101" w:type="dxa"/>
          <w:trHeight w:val="512" w:hRule="atLeast"/>
        </w:trPr>
        <w:tc>
          <w:tcPr>
            <w:tcW w:w="4951"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项目负责人：吴家英</w:t>
            </w:r>
          </w:p>
        </w:tc>
        <w:tc>
          <w:tcPr>
            <w:tcW w:w="4289"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bl>
    <w:p/>
    <w:p/>
    <w:tbl>
      <w:tblPr>
        <w:tblStyle w:val="18"/>
        <w:tblW w:w="10054" w:type="dxa"/>
        <w:tblInd w:w="-574" w:type="dxa"/>
        <w:tblLayout w:type="fixed"/>
        <w:tblCellMar>
          <w:top w:w="0" w:type="dxa"/>
          <w:left w:w="108" w:type="dxa"/>
          <w:bottom w:w="0" w:type="dxa"/>
          <w:right w:w="108" w:type="dxa"/>
        </w:tblCellMar>
      </w:tblPr>
      <w:tblGrid>
        <w:gridCol w:w="992"/>
        <w:gridCol w:w="1055"/>
        <w:gridCol w:w="996"/>
        <w:gridCol w:w="2824"/>
        <w:gridCol w:w="512"/>
        <w:gridCol w:w="525"/>
        <w:gridCol w:w="500"/>
        <w:gridCol w:w="600"/>
        <w:gridCol w:w="587"/>
        <w:gridCol w:w="601"/>
        <w:gridCol w:w="862"/>
      </w:tblGrid>
      <w:tr>
        <w:tblPrEx>
          <w:tblCellMar>
            <w:top w:w="0" w:type="dxa"/>
            <w:left w:w="108" w:type="dxa"/>
            <w:bottom w:w="0" w:type="dxa"/>
            <w:right w:w="108" w:type="dxa"/>
          </w:tblCellMar>
        </w:tblPrEx>
        <w:trPr>
          <w:trHeight w:val="508" w:hRule="atLeast"/>
        </w:trPr>
        <w:tc>
          <w:tcPr>
            <w:tcW w:w="10054"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trHeight w:val="318" w:hRule="atLeast"/>
        </w:trPr>
        <w:tc>
          <w:tcPr>
            <w:tcW w:w="20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00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51340022Y000000251547-机关运转项目</w:t>
            </w:r>
          </w:p>
        </w:tc>
      </w:tr>
      <w:tr>
        <w:tblPrEx>
          <w:tblCellMar>
            <w:top w:w="0" w:type="dxa"/>
            <w:left w:w="108" w:type="dxa"/>
            <w:bottom w:w="0" w:type="dxa"/>
            <w:right w:w="108" w:type="dxa"/>
          </w:tblCellMar>
        </w:tblPrEx>
        <w:trPr>
          <w:trHeight w:val="635" w:hRule="atLeast"/>
        </w:trPr>
        <w:tc>
          <w:tcPr>
            <w:tcW w:w="20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535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600" w:type="dxa"/>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05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trHeight w:val="373" w:hRule="atLeast"/>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535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265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821"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535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用于开展青少年科学技术创新大赛、青少年科学技术普及、教育等活动。</w:t>
            </w:r>
          </w:p>
        </w:tc>
        <w:tc>
          <w:tcPr>
            <w:tcW w:w="265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年度完成了开展青少年科学技术创新大赛、青少年科学技术普及、教育等活动。</w:t>
            </w:r>
          </w:p>
        </w:tc>
      </w:tr>
      <w:tr>
        <w:tblPrEx>
          <w:tblCellMar>
            <w:top w:w="0" w:type="dxa"/>
            <w:left w:w="108" w:type="dxa"/>
            <w:bottom w:w="0" w:type="dxa"/>
            <w:right w:w="108" w:type="dxa"/>
          </w:tblCellMar>
        </w:tblPrEx>
        <w:trPr>
          <w:trHeight w:val="809"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00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年度内用于开展青少年科学技术创新大赛、青少年科学技术普及、教育等活动工作补助经费。</w:t>
            </w:r>
          </w:p>
        </w:tc>
      </w:tr>
      <w:tr>
        <w:tblPrEx>
          <w:tblCellMar>
            <w:top w:w="0" w:type="dxa"/>
            <w:left w:w="108" w:type="dxa"/>
            <w:bottom w:w="0" w:type="dxa"/>
            <w:right w:w="108" w:type="dxa"/>
          </w:tblCellMar>
        </w:tblPrEx>
        <w:trPr>
          <w:trHeight w:val="633" w:hRule="atLeast"/>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98"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预算执行率100%。</w:t>
            </w:r>
          </w:p>
        </w:tc>
      </w:tr>
      <w:tr>
        <w:tblPrEx>
          <w:tblCellMar>
            <w:top w:w="0" w:type="dxa"/>
            <w:left w:w="108" w:type="dxa"/>
            <w:bottom w:w="0" w:type="dxa"/>
            <w:right w:w="108" w:type="dxa"/>
          </w:tblCellMar>
        </w:tblPrEx>
        <w:trPr>
          <w:trHeight w:val="339"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5"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66"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90"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6"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2824"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537"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6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73" w:hRule="atLeast"/>
        </w:trPr>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67"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补助一项工作经费</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455"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高品质开展完成青少年科学技术创新大赛、青少年科学技术普及、教育等活动。</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352"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2022年1-12月前</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8</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前期支付进度较缓慢，扣</w:t>
            </w:r>
            <w:r>
              <w:rPr>
                <w:rFonts w:hint="eastAsia" w:ascii="微软雅黑" w:hAnsi="微软雅黑" w:eastAsia="微软雅黑" w:cs="微软雅黑"/>
                <w:i/>
                <w:iCs/>
                <w:color w:val="000000"/>
                <w:kern w:val="0"/>
                <w:sz w:val="15"/>
                <w:szCs w:val="15"/>
                <w:lang w:val="en-US" w:eastAsia="zh-CN"/>
              </w:rPr>
              <w:t>2分。</w:t>
            </w:r>
          </w:p>
        </w:tc>
      </w:tr>
      <w:tr>
        <w:tblPrEx>
          <w:tblCellMar>
            <w:top w:w="0" w:type="dxa"/>
            <w:left w:w="108" w:type="dxa"/>
            <w:bottom w:w="0" w:type="dxa"/>
            <w:right w:w="108" w:type="dxa"/>
          </w:tblCellMar>
        </w:tblPrEx>
        <w:trPr>
          <w:trHeight w:val="313"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补助一项工作经费3万元/年</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3</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423"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2022年圆满完成开展青少年科学技术创新大赛、青少年科学技术普及、教育等活动</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646"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完成开展青少年科学技术创新大赛、青少年科学技术普及、教育等活动，培养青少年崇尚科学、反对邪教的高尚品质。</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536" w:hRule="atLeast"/>
        </w:trPr>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82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青少年等群体及单位领导满意度达95%左右</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8</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default" w:ascii="微软雅黑" w:hAnsi="微软雅黑" w:eastAsia="微软雅黑" w:cs="微软雅黑"/>
                <w:i/>
                <w:iCs/>
                <w:color w:val="000000"/>
                <w:sz w:val="15"/>
                <w:szCs w:val="15"/>
                <w:lang w:val="en-US" w:eastAsia="zh-CN"/>
              </w:rPr>
            </w:pPr>
            <w:r>
              <w:rPr>
                <w:rFonts w:hint="eastAsia" w:ascii="微软雅黑" w:hAnsi="微软雅黑" w:eastAsia="微软雅黑" w:cs="微软雅黑"/>
                <w:i/>
                <w:iCs/>
                <w:color w:val="000000"/>
                <w:kern w:val="0"/>
                <w:sz w:val="15"/>
                <w:szCs w:val="15"/>
                <w:lang w:eastAsia="zh-CN"/>
              </w:rPr>
              <w:t>满意度达不到</w:t>
            </w:r>
            <w:r>
              <w:rPr>
                <w:rFonts w:hint="eastAsia" w:ascii="微软雅黑" w:hAnsi="微软雅黑" w:eastAsia="微软雅黑" w:cs="微软雅黑"/>
                <w:i/>
                <w:iCs/>
                <w:color w:val="000000"/>
                <w:kern w:val="0"/>
                <w:sz w:val="15"/>
                <w:szCs w:val="15"/>
                <w:lang w:val="en-US" w:eastAsia="zh-CN"/>
              </w:rPr>
              <w:t>100%，扣2分。</w:t>
            </w:r>
          </w:p>
        </w:tc>
      </w:tr>
      <w:tr>
        <w:tblPrEx>
          <w:tblCellMar>
            <w:top w:w="0" w:type="dxa"/>
            <w:left w:w="108" w:type="dxa"/>
            <w:bottom w:w="0" w:type="dxa"/>
            <w:right w:w="108" w:type="dxa"/>
          </w:tblCellMar>
        </w:tblPrEx>
        <w:trPr>
          <w:trHeight w:val="326" w:hRule="atLeast"/>
        </w:trPr>
        <w:tc>
          <w:tcPr>
            <w:tcW w:w="8004"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96</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062"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年度内完成了开展青少年科学技术创新大赛、青少年科学技术普及、教育等活动工作补助经费事项。从以上产出、效益、满意度指标等进行了评价，预算执行率100%，执行情况良好，自评得分100分。</w:t>
            </w:r>
          </w:p>
        </w:tc>
      </w:tr>
      <w:tr>
        <w:tblPrEx>
          <w:tblCellMar>
            <w:top w:w="0" w:type="dxa"/>
            <w:left w:w="108" w:type="dxa"/>
            <w:bottom w:w="0" w:type="dxa"/>
            <w:right w:w="108" w:type="dxa"/>
          </w:tblCellMar>
        </w:tblPrEx>
        <w:trPr>
          <w:trHeight w:val="250"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062"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319"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062"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297" w:hRule="atLeast"/>
        </w:trPr>
        <w:tc>
          <w:tcPr>
            <w:tcW w:w="637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项目负责人：吴朝兰</w:t>
            </w:r>
          </w:p>
        </w:tc>
        <w:tc>
          <w:tcPr>
            <w:tcW w:w="3675"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r>
        <w:tblPrEx>
          <w:tblCellMar>
            <w:top w:w="0" w:type="dxa"/>
            <w:left w:w="108" w:type="dxa"/>
            <w:bottom w:w="0" w:type="dxa"/>
            <w:right w:w="108" w:type="dxa"/>
          </w:tblCellMar>
        </w:tblPrEx>
        <w:trPr>
          <w:trHeight w:val="312" w:hRule="atLeast"/>
        </w:trPr>
        <w:tc>
          <w:tcPr>
            <w:tcW w:w="10054" w:type="dxa"/>
            <w:gridSpan w:val="11"/>
            <w:tcBorders>
              <w:top w:val="nil"/>
              <w:left w:val="nil"/>
              <w:bottom w:val="nil"/>
              <w:right w:val="nil"/>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1、报表说明:该报表查询项目信息、绩效目标信息、预算及执行情况，用于预算单位查询导出开展项目自评。</w:t>
            </w:r>
          </w:p>
        </w:tc>
      </w:tr>
      <w:tr>
        <w:tblPrEx>
          <w:tblCellMar>
            <w:top w:w="0" w:type="dxa"/>
            <w:left w:w="108" w:type="dxa"/>
            <w:bottom w:w="0" w:type="dxa"/>
            <w:right w:w="108" w:type="dxa"/>
          </w:tblCellMar>
        </w:tblPrEx>
        <w:trPr>
          <w:trHeight w:val="623" w:hRule="atLeast"/>
        </w:trPr>
        <w:tc>
          <w:tcPr>
            <w:tcW w:w="10054" w:type="dxa"/>
            <w:gridSpan w:val="11"/>
            <w:tcBorders>
              <w:top w:val="nil"/>
              <w:left w:val="nil"/>
              <w:bottom w:val="nil"/>
              <w:right w:val="nil"/>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2、取数口径：部门项目绩效目标表信息，包括年初预算、追加预算、结转预算和调整预算的绩效目标（以项目的最终绩效目标为准）。</w:t>
            </w:r>
          </w:p>
        </w:tc>
      </w:tr>
      <w:tr>
        <w:tblPrEx>
          <w:tblCellMar>
            <w:top w:w="0" w:type="dxa"/>
            <w:left w:w="108" w:type="dxa"/>
            <w:bottom w:w="0" w:type="dxa"/>
            <w:right w:w="108" w:type="dxa"/>
          </w:tblCellMar>
        </w:tblPrEx>
        <w:trPr>
          <w:trHeight w:val="312" w:hRule="atLeast"/>
        </w:trPr>
        <w:tc>
          <w:tcPr>
            <w:tcW w:w="10054" w:type="dxa"/>
            <w:gridSpan w:val="11"/>
            <w:tcBorders>
              <w:top w:val="nil"/>
              <w:left w:val="nil"/>
              <w:bottom w:val="nil"/>
              <w:right w:val="nil"/>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适用地区：全省范围</w:t>
            </w:r>
          </w:p>
        </w:tc>
      </w:tr>
      <w:tr>
        <w:tblPrEx>
          <w:tblCellMar>
            <w:top w:w="0" w:type="dxa"/>
            <w:left w:w="108" w:type="dxa"/>
            <w:bottom w:w="0" w:type="dxa"/>
            <w:right w:w="108" w:type="dxa"/>
          </w:tblCellMar>
        </w:tblPrEx>
        <w:trPr>
          <w:trHeight w:val="312" w:hRule="atLeast"/>
        </w:trPr>
        <w:tc>
          <w:tcPr>
            <w:tcW w:w="10054" w:type="dxa"/>
            <w:gridSpan w:val="11"/>
            <w:tcBorders>
              <w:top w:val="nil"/>
              <w:left w:val="nil"/>
              <w:bottom w:val="nil"/>
              <w:right w:val="nil"/>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适用用户：部门用户、单位用户</w:t>
            </w:r>
          </w:p>
        </w:tc>
      </w:tr>
    </w:tbl>
    <w:p>
      <w:pPr>
        <w:pStyle w:val="6"/>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2-1</w:t>
      </w:r>
    </w:p>
    <w:p>
      <w:pPr>
        <w:pStyle w:val="38"/>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凉山州科学技术协会</w:t>
      </w:r>
    </w:p>
    <w:p>
      <w:pPr>
        <w:pStyle w:val="38"/>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2022年州级科普专项资金绩效自评报告</w:t>
      </w:r>
    </w:p>
    <w:p>
      <w:pPr>
        <w:pStyle w:val="38"/>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1．凉山州科学技术协会在该项目管理中的职能。</w:t>
      </w:r>
    </w:p>
    <w:p>
      <w:pPr>
        <w:pStyle w:val="6"/>
        <w:spacing w:before="93"/>
        <w:ind w:firstLine="640" w:firstLineChars="200"/>
        <w:rPr>
          <w:rFonts w:hAnsi="仿宋_GB2312" w:cs="仿宋_GB2312"/>
          <w:sz w:val="32"/>
          <w:szCs w:val="32"/>
        </w:rPr>
      </w:pPr>
      <w:r>
        <w:rPr>
          <w:rFonts w:hint="eastAsia" w:hAnsi="仿宋_GB2312" w:cs="仿宋_GB2312"/>
          <w:sz w:val="32"/>
          <w:szCs w:val="32"/>
          <w:shd w:val="clear" w:color="auto" w:fill="FFFFFF"/>
        </w:rPr>
        <w:t>凉山州科学技术协会承担着全州</w:t>
      </w:r>
      <w:r>
        <w:rPr>
          <w:rFonts w:hint="eastAsia" w:hAnsi="仿宋_GB2312" w:cs="仿宋_GB2312"/>
          <w:sz w:val="32"/>
          <w:szCs w:val="32"/>
        </w:rPr>
        <w:t>科普宣传、学术交流、弘扬科学精神、维护科技工作者合法权益、青少年科技教育实践、提高全民科学素质、并紧扣“以科技创新为主线、以项目建设为载体、以服务三农为导向”，全力推进科普建设、科技创新，推动科技成果向现实生产力转化，为全州各级政府决策和科技工作者服务，充分发挥科技资源优势，助力乡村振兴。凉山州科学技术协会是科普专项资金项目组织和实施的主管单位，在该项目管理中具有审查、指导、验收、监管的职能。按照凉山州财政局要求，我单位对2022年州级科普专项资金(功能科目2060799）189.30万元（含年中追拨40万元）围绕上述职责职能开展绩效自评。</w:t>
      </w:r>
    </w:p>
    <w:p>
      <w:pPr>
        <w:widowControl/>
        <w:numPr>
          <w:ilvl w:val="0"/>
          <w:numId w:val="6"/>
        </w:numPr>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项目立项、资金申报的依据。</w:t>
      </w:r>
    </w:p>
    <w:p>
      <w:pPr>
        <w:pStyle w:val="6"/>
        <w:spacing w:before="93"/>
        <w:ind w:firstLine="640" w:firstLineChars="200"/>
        <w:rPr>
          <w:rFonts w:hAnsi="仿宋_GB2312" w:cs="仿宋_GB2312"/>
          <w:sz w:val="32"/>
          <w:szCs w:val="32"/>
        </w:rPr>
      </w:pPr>
      <w:r>
        <w:rPr>
          <w:rFonts w:hint="eastAsia" w:hAnsi="仿宋_GB2312" w:cs="仿宋_GB2312"/>
          <w:sz w:val="32"/>
          <w:szCs w:val="32"/>
        </w:rPr>
        <w:t>2022年州级科普专项资金(功能科目2060799）的189.30万元属于财政全额拨款。2021年底，各科室根据自身工作特点及长期工作任务向党组提交本年度工作任务并测算所需工作经费，党组开会研究同意后编入2022年预算。2022年根据凉山州财政局《关于批复州级2022年部门预算的通知》(凉财预［2022］1号）文件精神，凉山州科学技术协会于2022年2月15日以《凉山州科学技术协会关于2022年度州本级科普经费预算安排的通知》（凉科协［2022］4号）的文件形式向各科室及下属事业单位进行了年度预算安排。</w:t>
      </w:r>
    </w:p>
    <w:p>
      <w:pPr>
        <w:widowControl/>
        <w:numPr>
          <w:ilvl w:val="0"/>
          <w:numId w:val="6"/>
        </w:numPr>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资金</w:t>
      </w:r>
      <w:r>
        <w:rPr>
          <w:rFonts w:hint="eastAsia" w:ascii="宋体" w:hAnsi="宋体" w:cs="宋体"/>
          <w:b/>
          <w:bCs/>
          <w:kern w:val="0"/>
          <w:sz w:val="28"/>
          <w:szCs w:val="28"/>
          <w:shd w:val="clear" w:color="auto" w:fill="FFFFFF"/>
        </w:rPr>
        <w:t>或项目</w:t>
      </w:r>
      <w:r>
        <w:rPr>
          <w:rFonts w:hint="eastAsia" w:ascii="宋体" w:hAnsi="宋体" w:cs="宋体"/>
          <w:b/>
          <w:bCs/>
          <w:kern w:val="0"/>
          <w:sz w:val="28"/>
          <w:szCs w:val="28"/>
          <w:shd w:val="clear" w:color="auto" w:fill="FFFFFF"/>
          <w:lang w:val="zh-CN"/>
        </w:rPr>
        <w:t>管理办法制定情况，资金支持具体项目的条件、范围与支持方式概况。</w:t>
      </w:r>
    </w:p>
    <w:p>
      <w:pPr>
        <w:ind w:firstLine="560" w:firstLineChars="200"/>
        <w:textAlignment w:val="baseline"/>
        <w:rPr>
          <w:rFonts w:ascii="仿宋_GB2312" w:hAnsi="仿宋_GB2312" w:eastAsia="仿宋_GB2312" w:cs="仿宋_GB2312"/>
          <w:kern w:val="0"/>
          <w:sz w:val="32"/>
          <w:szCs w:val="32"/>
        </w:rPr>
      </w:pPr>
      <w:r>
        <w:rPr>
          <w:rFonts w:hint="eastAsia" w:ascii="宋体" w:hAnsi="宋体" w:cs="宋体"/>
          <w:kern w:val="0"/>
          <w:sz w:val="28"/>
          <w:szCs w:val="28"/>
        </w:rPr>
        <w:t>凉</w:t>
      </w:r>
      <w:r>
        <w:rPr>
          <w:rFonts w:hint="eastAsia" w:ascii="仿宋_GB2312" w:hAnsi="仿宋_GB2312" w:eastAsia="仿宋_GB2312" w:cs="仿宋_GB2312"/>
          <w:kern w:val="0"/>
          <w:sz w:val="32"/>
          <w:szCs w:val="32"/>
        </w:rPr>
        <w:t>山州科学技术协会科普专项资金严格执行《四川省科普专项资金管理办法》（川财教［2020］83号）、《凉山州科技计划项目专项资金管理办法》（凉财规［2020］2号）及配套科普专项资金管理办法和相关财务管理制度。在189.30万元中，32.30万元用于组织召开全州科协系统相关会议、组织科协系统干部赴宁波考察学习、网络运维费和办公设备维修、办公用品购买等，年中凉山州财政局返还上年结余30万元用于全州科协系统干部能力提升培训（在预算中期评估时主动上缴9万元，5万元用于科协系统培训，年终未使用的16万元被财政收回）；40万元用于“天府科技云服务”中心网络运维费、外聘工作人员经费、全州培训会费用及到各县市调研费用；25万用于四家学会、协会能力提升及开展科技创新与服务工作等；23万元用于组织开展青少年科技竞赛、科学普及活动等，年中凉山州财政局返还上年结余15万元用于开展第三十七届凉山州青少年科技创新大赛；15万元用于农技协开展五</w:t>
      </w:r>
      <w:r>
        <w:rPr>
          <w:rFonts w:hint="eastAsia" w:ascii="仿宋_GB2312" w:hAnsi="仿宋_GB2312" w:eastAsia="仿宋_GB2312" w:cs="仿宋_GB2312"/>
          <w:kern w:val="0"/>
          <w:sz w:val="32"/>
          <w:szCs w:val="32"/>
          <w:lang w:eastAsia="en-US"/>
        </w:rPr>
        <w:t>期种养殖技术培训</w:t>
      </w:r>
      <w:r>
        <w:rPr>
          <w:rFonts w:hint="eastAsia" w:ascii="仿宋_GB2312" w:hAnsi="仿宋_GB2312" w:eastAsia="仿宋_GB2312" w:cs="仿宋_GB2312"/>
          <w:kern w:val="0"/>
          <w:sz w:val="32"/>
          <w:szCs w:val="32"/>
        </w:rPr>
        <w:t>；7万元用于院士专家工作站建设、人才慰问、支持西昌学院学生科协活动经费等；5万元用于助力乡村振兴开展养殖技术培训等；2万元用于各科普宣传活动租车、出差，年中凉山州财政局返还预留财政的20万元用于全国科普日活动及院士专家工作站建设补助。</w:t>
      </w:r>
    </w:p>
    <w:p>
      <w:pPr>
        <w:widowControl/>
        <w:numPr>
          <w:ilvl w:val="0"/>
          <w:numId w:val="6"/>
        </w:numPr>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资金分配的原则及考虑因素。</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州科协党组对2022年的州级科普专项资金分配原则，是以围绕省科协重点工作“天府科技云服务”为主线，结合州委州政府工作规划要点及各科室具体工作，统筹考虑、科学分配。</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1．项目主要内容。</w:t>
      </w:r>
    </w:p>
    <w:p>
      <w:pPr>
        <w:ind w:firstLine="560" w:firstLineChars="200"/>
        <w:textAlignment w:val="baseline"/>
        <w:rPr>
          <w:rFonts w:ascii="仿宋_GB2312" w:hAnsi="仿宋_GB2312" w:eastAsia="仿宋_GB2312" w:cs="仿宋_GB2312"/>
          <w:kern w:val="0"/>
          <w:sz w:val="32"/>
          <w:szCs w:val="32"/>
        </w:rPr>
      </w:pPr>
      <w:r>
        <w:rPr>
          <w:rFonts w:hint="eastAsia" w:ascii="宋体" w:hAnsi="宋体" w:cs="宋体"/>
          <w:kern w:val="0"/>
          <w:sz w:val="28"/>
          <w:szCs w:val="28"/>
        </w:rPr>
        <w:t>（</w:t>
      </w:r>
      <w:r>
        <w:rPr>
          <w:rFonts w:hint="eastAsia" w:ascii="仿宋_GB2312" w:hAnsi="仿宋_GB2312" w:eastAsia="仿宋_GB2312" w:cs="仿宋_GB2312"/>
          <w:kern w:val="0"/>
          <w:sz w:val="32"/>
          <w:szCs w:val="32"/>
        </w:rPr>
        <w:t>1）公共服务及基础设施运行保障项目资金32.30万元，年中返还上年结余30万元用于全州科协系统干部能力提升培训（在预算中期评估时主动上缴9万元，5万元用于科协系统培训，年终未使用的16万元被财政收回）共计37.30万元。该项目主要用于组织全州科协系统党员干部前往浙江省宁波市考察学习，提升党员干部综合素质；确保视讯中心正常运行、互联网+科普平台建设网络运行维护；召开科协业务工作会，组织参加上级科协及相关部门业务、党务培训；及为新办公区采购办公设施及办公用品。</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天府科技云服务”专项工作经费40万元。该项目主要用于全力推进“天府科技云”在凉山落地落实。围绕科技服务供给、科研成果转化、科研项目承接、科普服务直达开展全员常态化“保姆式”服务，全程、精准、完整开展“一人一策”“一单一策”服务。为保障“天府科技云”各项工作顺利进行，外聘专职工作人员4名。</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学会能力提升计划25万元。该项目主要用于支持凉山州科协所属学会（含专委会）、协会等社团组织及科研团队等开展工作。加强学会党的建设，根据学会工作特点积极开展党的工作、科普宣传、科技服务、人才培养举荐、服务会员、学术交流等方面工作。积极参与州科协组织的各项重大活动。进一步提升学会(协会)组织服务社会、服务创新驱动发展能力。提升学会服务能力和学会自我发展能力，促进学会健康发展。 </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青少年科技教育经费23万元，年中凉山州财政局返还上年结余15万元，共计38万元。该项目主要用于开展第三十七届和第三十八届青少年科技创新大赛；组织开展青少年科普调查体验活动，购置科普资源包；开展青少年科技辅导能力提升培训等。</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（5）农技协科普经费15万元。该项目主要用于</w:t>
      </w:r>
      <w:r>
        <w:rPr>
          <w:rFonts w:hint="eastAsia" w:ascii="仿宋_GB2312" w:hAnsi="仿宋_GB2312" w:eastAsia="仿宋_GB2312" w:cs="仿宋_GB2312"/>
          <w:kern w:val="0"/>
          <w:sz w:val="32"/>
          <w:szCs w:val="32"/>
          <w:lang w:eastAsia="en-US"/>
        </w:rPr>
        <w:t>乡村振兴重点县</w:t>
      </w:r>
      <w:r>
        <w:rPr>
          <w:rFonts w:hint="eastAsia" w:ascii="仿宋_GB2312" w:hAnsi="仿宋_GB2312" w:eastAsia="仿宋_GB2312" w:cs="仿宋_GB2312"/>
          <w:kern w:val="0"/>
          <w:sz w:val="32"/>
          <w:szCs w:val="32"/>
        </w:rPr>
        <w:t>和对工作突出的县级农技协，</w:t>
      </w:r>
      <w:r>
        <w:rPr>
          <w:rFonts w:hint="eastAsia" w:ascii="仿宋_GB2312" w:hAnsi="仿宋_GB2312" w:eastAsia="仿宋_GB2312" w:cs="仿宋_GB2312"/>
          <w:kern w:val="0"/>
          <w:sz w:val="32"/>
          <w:szCs w:val="32"/>
          <w:lang w:eastAsia="en-US"/>
        </w:rPr>
        <w:t>州农技协利用自身资源</w:t>
      </w:r>
      <w:r>
        <w:rPr>
          <w:rFonts w:hint="eastAsia" w:ascii="仿宋_GB2312" w:hAnsi="仿宋_GB2312" w:eastAsia="仿宋_GB2312" w:cs="仿宋_GB2312"/>
          <w:kern w:val="0"/>
          <w:sz w:val="32"/>
          <w:szCs w:val="32"/>
        </w:rPr>
        <w:t>优势</w:t>
      </w:r>
      <w:r>
        <w:rPr>
          <w:rFonts w:hint="eastAsia" w:ascii="仿宋_GB2312" w:hAnsi="仿宋_GB2312" w:eastAsia="仿宋_GB2312" w:cs="仿宋_GB2312"/>
          <w:kern w:val="0"/>
          <w:sz w:val="32"/>
          <w:szCs w:val="32"/>
          <w:lang w:eastAsia="en-US"/>
        </w:rPr>
        <w:t>请行业专家到实地对农村乡土人才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en-US"/>
        </w:rPr>
        <w:t>科普带头人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en-US"/>
        </w:rPr>
        <w:t>农技协会员等进行培训，使其掌握相关产业的技术，</w:t>
      </w:r>
      <w:r>
        <w:rPr>
          <w:rFonts w:hint="eastAsia" w:ascii="仿宋_GB2312" w:hAnsi="仿宋_GB2312" w:eastAsia="仿宋_GB2312" w:cs="仿宋_GB2312"/>
          <w:kern w:val="0"/>
          <w:sz w:val="32"/>
          <w:szCs w:val="32"/>
        </w:rPr>
        <w:t>实现互利互惠、合作共赢、增收提效、抗御风险、普及科技</w:t>
      </w:r>
      <w:r>
        <w:rPr>
          <w:rFonts w:hint="eastAsia" w:ascii="仿宋_GB2312" w:hAnsi="仿宋_GB2312" w:eastAsia="仿宋_GB2312" w:cs="仿宋_GB2312"/>
          <w:kern w:val="0"/>
          <w:sz w:val="32"/>
          <w:szCs w:val="32"/>
          <w:lang w:eastAsia="en-US"/>
        </w:rPr>
        <w:t>从而为乡村振兴作出努力。</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院士（专家）工作站建设及企事业科协建设项目经费7万元，年中凉山州财政局返还预留财政的15万元，共计22万元。该项目主要用于3家州级院士（专家）工作站建设补助；开展“菁英计划”评选活动；做好人才慰问工作及支持西昌学院学生科协活动。</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乡村振兴科普宣传、培训费5万元。该项目主要用于向农户宣传移风易俗、“四好”建设、健康文明新生活、禁毒防艾、疫情防控、森林防灭火等科普知识宣传。通过对科普知识的宣传，形成良好的环境氛围，培养村民形成健康、良好的生活方式；强农户发展农业的信心，努力为群众增产增收，夯实脱贫攻坚成果、助力乡村振兴。</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（8）科学技术普及宣传示范创建项目经费2万元，年中凉山州财政局返还预留财政的5万元，共计7万元。该项目主要用于开展全国科普日活动及其他相关科普宣传活动的委托业务费、租车费、差旅费等。</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lang w:val="zh-CN"/>
        </w:rPr>
        <w:t>2．项目应实现的具体绩效目标，</w:t>
      </w:r>
      <w:r>
        <w:rPr>
          <w:rFonts w:hint="eastAsia" w:ascii="宋体" w:hAnsi="宋体" w:cs="宋体"/>
          <w:b/>
          <w:bCs/>
          <w:kern w:val="0"/>
          <w:sz w:val="28"/>
          <w:szCs w:val="28"/>
          <w:shd w:val="clear" w:color="auto" w:fill="FFFFFF"/>
        </w:rPr>
        <w:t>包括但不限于：绩效</w:t>
      </w:r>
      <w:r>
        <w:rPr>
          <w:rFonts w:hint="eastAsia" w:ascii="宋体" w:hAnsi="宋体" w:cs="宋体"/>
          <w:b/>
          <w:bCs/>
          <w:kern w:val="0"/>
          <w:sz w:val="28"/>
          <w:szCs w:val="28"/>
          <w:shd w:val="clear" w:color="auto" w:fill="FFFFFF"/>
          <w:lang w:val="zh-CN"/>
        </w:rPr>
        <w:t>目标的量化细化情况、项目实施进度计划等。</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凉山州科学技术协会围绕省级重点项目工作“天府科技云服务”，开展科学技术普及、传播、科普阵地建设、学术交流、青少年科技创新活动、科普资源开发、全民科学素质调查、开展科普进彝家进校园、完成人才专项“菁英计划”工作、凉山州民族科普、院士（专家）工作站、科普e站建设、打造重点学会、完善农技协工作等专项工作。涉及的所有项目应实现的绩效目标包括数量指标、质量指标、时效指标、成本指标、效果指标、社会效益指标和服务对象满意度指标。所有项目的实施进度均按预算执行进度完成资金支付。</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rPr>
        <w:t>3.</w:t>
      </w:r>
      <w:r>
        <w:rPr>
          <w:rFonts w:hint="eastAsia" w:ascii="宋体" w:hAnsi="宋体" w:cs="宋体"/>
          <w:b/>
          <w:bCs/>
          <w:kern w:val="0"/>
          <w:sz w:val="28"/>
          <w:szCs w:val="28"/>
          <w:shd w:val="clear" w:color="auto" w:fill="FFFFFF"/>
          <w:lang w:val="zh-CN"/>
        </w:rPr>
        <w:t>分析评价申报内容是否与实际相符，申报目标是否合理可行。</w:t>
      </w:r>
    </w:p>
    <w:p>
      <w:pPr>
        <w:widowControl/>
        <w:adjustRightInd w:val="0"/>
        <w:snapToGrid w:val="0"/>
        <w:spacing w:line="578" w:lineRule="exact"/>
        <w:contextualSpacing/>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rPr>
        <w:t xml:space="preserve"> 凉山州科协</w:t>
      </w:r>
      <w:r>
        <w:rPr>
          <w:rFonts w:hint="eastAsia" w:ascii="仿宋_GB2312" w:hAnsi="仿宋_GB2312" w:eastAsia="仿宋_GB2312" w:cs="仿宋_GB2312"/>
          <w:kern w:val="0"/>
          <w:sz w:val="32"/>
          <w:szCs w:val="32"/>
          <w:lang w:val="zh-CN"/>
        </w:rPr>
        <w:t>党组</w:t>
      </w:r>
      <w:r>
        <w:rPr>
          <w:rFonts w:hint="eastAsia" w:ascii="仿宋_GB2312" w:hAnsi="仿宋_GB2312" w:eastAsia="仿宋_GB2312" w:cs="仿宋_GB2312"/>
          <w:kern w:val="0"/>
          <w:sz w:val="32"/>
          <w:szCs w:val="32"/>
        </w:rPr>
        <w:t>将绩效管理的理念贯穿于项目的事前、事中、事后。</w:t>
      </w:r>
      <w:r>
        <w:rPr>
          <w:rFonts w:hint="eastAsia" w:ascii="仿宋_GB2312" w:hAnsi="仿宋_GB2312" w:eastAsia="仿宋_GB2312" w:cs="仿宋_GB2312"/>
          <w:kern w:val="0"/>
          <w:sz w:val="32"/>
          <w:szCs w:val="32"/>
          <w:lang w:val="zh-CN"/>
        </w:rPr>
        <w:t>要求各项目组</w:t>
      </w:r>
      <w:r>
        <w:rPr>
          <w:rFonts w:hint="eastAsia" w:ascii="仿宋_GB2312" w:hAnsi="仿宋_GB2312" w:eastAsia="仿宋_GB2312" w:cs="仿宋_GB2312"/>
          <w:kern w:val="0"/>
          <w:sz w:val="32"/>
          <w:szCs w:val="32"/>
        </w:rPr>
        <w:t>要事前进行调研，掌握必要的基本情况，便于党组制定项目决策；事中加强实地考察以指导项目不偏离预期计划；事后组织对项目进行验收，保证项目实现目标。明确项目的立项依据、</w:t>
      </w:r>
      <w:r>
        <w:rPr>
          <w:rFonts w:hint="eastAsia" w:ascii="仿宋_GB2312" w:hAnsi="仿宋_GB2312" w:eastAsia="仿宋_GB2312" w:cs="仿宋_GB2312"/>
          <w:kern w:val="0"/>
          <w:sz w:val="32"/>
          <w:szCs w:val="32"/>
          <w:lang w:val="zh-CN"/>
        </w:rPr>
        <w:t>成本费用、实施条件、信息支撑、效益情况等。确保申报内容与实际相符，申报目标合理可行。</w:t>
      </w:r>
    </w:p>
    <w:p>
      <w:pPr>
        <w:numPr>
          <w:ilvl w:val="0"/>
          <w:numId w:val="7"/>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pPr>
        <w:widowControl/>
        <w:adjustRightInd w:val="0"/>
        <w:snapToGrid w:val="0"/>
        <w:spacing w:line="600" w:lineRule="exact"/>
        <w:ind w:firstLine="560" w:firstLineChars="200"/>
        <w:contextualSpacing/>
        <w:rPr>
          <w:rFonts w:ascii="仿宋_GB2312" w:hAnsi="仿宋_GB2312" w:eastAsia="仿宋_GB2312" w:cs="仿宋_GB2312"/>
          <w:kern w:val="0"/>
          <w:sz w:val="32"/>
          <w:szCs w:val="32"/>
        </w:rPr>
      </w:pPr>
      <w:r>
        <w:rPr>
          <w:rFonts w:hint="eastAsia" w:ascii="宋体" w:hAnsi="宋体" w:cs="宋体"/>
          <w:kern w:val="0"/>
          <w:sz w:val="28"/>
          <w:szCs w:val="28"/>
        </w:rPr>
        <w:t xml:space="preserve"> </w:t>
      </w:r>
      <w:r>
        <w:rPr>
          <w:rFonts w:hint="eastAsia" w:ascii="仿宋_GB2312" w:hAnsi="仿宋_GB2312" w:eastAsia="仿宋_GB2312" w:cs="仿宋_GB2312"/>
          <w:kern w:val="0"/>
          <w:sz w:val="32"/>
          <w:szCs w:val="32"/>
        </w:rPr>
        <w:t>凉山州科学技术协会是项目组织、实施和监管的主管单位，对2022年州级科普专项资金189.30万元（含年中返还40万元），涉及到8个项目工作任务，对照“2022年项目支出绩效自评表”，按照评价体系中项目基本情况、项目执行情况、绩效指标等内容，结合项目内容特点逐项进行评价。坚持“用钱必问效、无效必问责”的财政资金使用原则，确保州级科普专项资金使用安全、透明、高速、效益化。</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pStyle w:val="6"/>
        <w:spacing w:before="93"/>
        <w:ind w:firstLine="640" w:firstLineChars="200"/>
        <w:rPr>
          <w:rFonts w:hAnsi="仿宋_GB2312" w:cs="仿宋_GB2312"/>
          <w:sz w:val="32"/>
          <w:szCs w:val="32"/>
        </w:rPr>
      </w:pPr>
      <w:r>
        <w:rPr>
          <w:rFonts w:hint="eastAsia" w:hAnsi="仿宋_GB2312" w:cs="仿宋_GB2312"/>
          <w:sz w:val="32"/>
          <w:szCs w:val="32"/>
        </w:rPr>
        <w:t>2021年底，各科室根据自身工作特点及长期工作任务向党组提交本年度工作任务并测算所需工作经费，党组开会研究同意后编入2022年预算。2022年收到凉山州财政局《关于批复州级2022年部门预算的通知》(凉财预［2022］1号）后，凉山州科学技术协会于2022年2月15日以《凉山州科学技术协会关于2022年度州本级科普经费预算安排的通知》（凉科协［2022］4号）的文件形式向各科室及下属事业单位进行了2022年度州级科普专项资金149.30万元的预算安排。年中，凉山州财政局返还上年结余科普专项资金65万元，其中干部能力提升的30万元在中期评估时主动上缴9万元，年终被财政收回未使用16万元。所以，2022年度州级科普专项资金为189.30万元。</w:t>
      </w:r>
    </w:p>
    <w:p>
      <w:pPr>
        <w:widowControl/>
        <w:adjustRightInd w:val="0"/>
        <w:snapToGrid w:val="0"/>
        <w:spacing w:line="578" w:lineRule="exact"/>
        <w:ind w:firstLine="562"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宋体" w:hAnsi="宋体" w:cs="宋体"/>
          <w:b/>
          <w:bCs/>
          <w:kern w:val="0"/>
          <w:sz w:val="28"/>
          <w:szCs w:val="28"/>
          <w:shd w:val="clear" w:color="auto" w:fill="FFFFFF"/>
          <w:lang w:val="zh-CN"/>
        </w:rPr>
        <w:t>1．资金计划。</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州级科普专项资金（功能科目2060799）189.30万元，其中37.30万元用于组织召开全州科协系统相关会议、组织科协系统干部赴宁波考察学习、网络运维费和办公设备维修、办公用品购买等；40万元用于“天府科技云服务”中心网络运维费、外聘工作人员经费、全州培训会费用及到各县市调研费用；25万用于四家学会、协会能力提升及开展科技创新与服务工作等；38万元用于组织开展青少年科技竞赛、科学普及活动等；15万元用于农技协开展五</w:t>
      </w:r>
      <w:r>
        <w:rPr>
          <w:rFonts w:hint="eastAsia" w:ascii="仿宋_GB2312" w:hAnsi="仿宋_GB2312" w:eastAsia="仿宋_GB2312" w:cs="仿宋_GB2312"/>
          <w:kern w:val="0"/>
          <w:sz w:val="32"/>
          <w:szCs w:val="32"/>
          <w:lang w:eastAsia="en-US"/>
        </w:rPr>
        <w:t>期种养殖技术培训</w:t>
      </w:r>
      <w:r>
        <w:rPr>
          <w:rFonts w:hint="eastAsia" w:ascii="仿宋_GB2312" w:hAnsi="仿宋_GB2312" w:eastAsia="仿宋_GB2312" w:cs="仿宋_GB2312"/>
          <w:kern w:val="0"/>
          <w:sz w:val="32"/>
          <w:szCs w:val="32"/>
        </w:rPr>
        <w:t>；7万元用于院士专家工作站建设、人才慰问、支持西昌学院学生科协活动经费等；5万元用于助力乡村振兴开展养殖技术培训等；22万元用于各科普宣传活动租车、出差和全国科普日活动及院士专家工作站建设补助。执行时间为2022年1月-12月。</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rPr>
        <w:t>2.</w:t>
      </w:r>
      <w:r>
        <w:rPr>
          <w:rFonts w:hint="eastAsia" w:ascii="宋体" w:hAnsi="宋体" w:cs="宋体"/>
          <w:b/>
          <w:bCs/>
          <w:kern w:val="0"/>
          <w:sz w:val="28"/>
          <w:szCs w:val="28"/>
          <w:shd w:val="clear" w:color="auto" w:fill="FFFFFF"/>
          <w:lang w:val="zh-CN"/>
        </w:rPr>
        <w:t>资金到位。</w:t>
      </w:r>
    </w:p>
    <w:p>
      <w:pPr>
        <w:ind w:firstLine="560" w:firstLineChars="200"/>
        <w:textAlignment w:val="baseline"/>
        <w:rPr>
          <w:rFonts w:ascii="仿宋_GB2312" w:hAnsi="仿宋_GB2312" w:eastAsia="仿宋_GB2312" w:cs="仿宋_GB2312"/>
          <w:kern w:val="0"/>
          <w:sz w:val="32"/>
          <w:szCs w:val="32"/>
        </w:rPr>
      </w:pPr>
      <w:r>
        <w:rPr>
          <w:rFonts w:hint="eastAsia" w:ascii="宋体" w:hAnsi="宋体" w:cs="宋体"/>
          <w:kern w:val="0"/>
          <w:sz w:val="28"/>
          <w:szCs w:val="28"/>
        </w:rPr>
        <w:t>2</w:t>
      </w:r>
      <w:r>
        <w:rPr>
          <w:rFonts w:hint="eastAsia" w:ascii="仿宋_GB2312" w:hAnsi="仿宋_GB2312" w:eastAsia="仿宋_GB2312" w:cs="仿宋_GB2312"/>
          <w:kern w:val="0"/>
          <w:sz w:val="32"/>
          <w:szCs w:val="32"/>
        </w:rPr>
        <w:t>022年收到凉山州财政局《关于批复州级2022年部门预算的通知》(凉财预［2022］1号）后，凉山州科学技术协会以《凉山州科学技术协会关于2022年度州本级科普经费预算安排的通知》（凉科协［2022］4号）的文件形式下达预算2022年度安排的通知，并及时在系统上向财政申请相关项目经费，资金到位率为100%。</w:t>
      </w:r>
    </w:p>
    <w:p>
      <w:pPr>
        <w:widowControl/>
        <w:adjustRightInd w:val="0"/>
        <w:snapToGrid w:val="0"/>
        <w:spacing w:line="578" w:lineRule="exact"/>
        <w:ind w:firstLine="562" w:firstLineChars="200"/>
        <w:contextualSpacing/>
        <w:jc w:val="left"/>
        <w:rPr>
          <w:rFonts w:ascii="宋体" w:hAnsi="宋体" w:cs="宋体"/>
          <w:b/>
          <w:bCs/>
          <w:kern w:val="0"/>
          <w:sz w:val="28"/>
          <w:szCs w:val="28"/>
          <w:shd w:val="clear" w:color="auto" w:fill="FFFFFF"/>
          <w:lang w:val="zh-CN"/>
        </w:rPr>
      </w:pPr>
      <w:r>
        <w:rPr>
          <w:rFonts w:hint="eastAsia" w:ascii="宋体" w:hAnsi="宋体" w:cs="宋体"/>
          <w:b/>
          <w:bCs/>
          <w:kern w:val="0"/>
          <w:sz w:val="28"/>
          <w:szCs w:val="28"/>
          <w:shd w:val="clear" w:color="auto" w:fill="FFFFFF"/>
        </w:rPr>
        <w:t>3.</w:t>
      </w:r>
      <w:r>
        <w:rPr>
          <w:rFonts w:hint="eastAsia" w:ascii="宋体" w:hAnsi="宋体" w:cs="宋体"/>
          <w:b/>
          <w:bCs/>
          <w:kern w:val="0"/>
          <w:sz w:val="28"/>
          <w:szCs w:val="28"/>
          <w:shd w:val="clear" w:color="auto" w:fill="FFFFFF"/>
          <w:lang w:val="zh-CN"/>
        </w:rPr>
        <w:t>资金使用。</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州级科普专项资金189.30万元，包含年中返还60万元。其中用于干部能力提升培训的30万元因受疫情响未能实施完成，在中期评估时主动上缴9万元、年终财政收回未使用的16万元，剩余所有州级科普专项资金在2022年内全部使用完毕，预算执行率100%。</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ind w:firstLine="640" w:firstLineChars="200"/>
        <w:textAlignment w:val="baseline"/>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凉山州科学技术协会州级科普专项资金，严格执行国家相关财经制度和《四川省科普专项资金管理办法》（川财教［2020］83号）、《凉山州科技计划项目专项资金管理办法》（凉财规［2020］2号），以及州财政局各项资金管理规定，并在遵循以上制度原则的情况下制定了单位《财务管理制度》、《内部控制管理制度》等管理制度，对专项资金进行管理，并配备具有一定专业技术职称的专职会计和出纳，职责职能分明、岗位互不相容，确保项目资金的安全性和高效运转。年初本部门编制科普项目支出预算绩效目标，对新增项目按照规定进行绩效评估可行性论证，对项目绩效目标进行细化、量化描述，以确保预算编制的科学、准确、合理、完整。项目经费收支设立专项明细账进行核算，严格区分基本支出和项目支出、不混淆使用，专款专用、不挪用挤占项目资金。</w:t>
      </w:r>
      <w:r>
        <w:rPr>
          <w:rFonts w:hint="eastAsia" w:ascii="仿宋_GB2312" w:hAnsi="仿宋_GB2312" w:eastAsia="仿宋_GB2312" w:cs="仿宋_GB2312"/>
          <w:kern w:val="0"/>
          <w:sz w:val="32"/>
          <w:szCs w:val="32"/>
          <w:lang w:val="zh-CN"/>
        </w:rPr>
        <w:t>账务处理及时，会计核算规范，</w:t>
      </w:r>
      <w:r>
        <w:rPr>
          <w:rFonts w:hint="eastAsia" w:ascii="仿宋_GB2312" w:hAnsi="仿宋_GB2312" w:eastAsia="仿宋_GB2312" w:cs="仿宋_GB2312"/>
          <w:kern w:val="0"/>
          <w:sz w:val="32"/>
          <w:szCs w:val="32"/>
        </w:rPr>
        <w:t>项目支出核算绩效目标能较清晰反映预算资金的预期产出和效果，整个财务管理制度健全、严谨规范。</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组织架构：围绕省科协重点项目“天府科技云”，结合州委州政府下达的年度目标任务开展科普知识宣传、学会（协会）能力提升、青少年科技创新活动、完成人才专项“菁英计划”工作、人才慰问、院士（专家）工作站建设、系统干部能力提升培训、农技协养殖业培训助力乡村振兴。</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实施流程：根据年初预算安排对各项目资金使用进行事前、事中、事后监督，坚持“用钱必问效，无效必问责”的原则。每笔项目资金的支出遵守各项财经制度，如有大额资金支出需经党组同意并报备纪检组。   </w:t>
      </w:r>
    </w:p>
    <w:p>
      <w:pPr>
        <w:numPr>
          <w:ilvl w:val="0"/>
          <w:numId w:val="8"/>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ind w:firstLine="640" w:firstLineChars="200"/>
        <w:textAlignment w:val="baseline"/>
        <w:rPr>
          <w:rFonts w:ascii="宋体" w:hAnsi="宋体" w:cs="宋体"/>
          <w:kern w:val="0"/>
          <w:sz w:val="28"/>
          <w:szCs w:val="28"/>
        </w:rPr>
      </w:pPr>
      <w:r>
        <w:rPr>
          <w:rFonts w:hint="eastAsia" w:ascii="仿宋_GB2312" w:hAnsi="仿宋_GB2312" w:eastAsia="仿宋_GB2312" w:cs="仿宋_GB2312"/>
          <w:kern w:val="0"/>
          <w:sz w:val="32"/>
          <w:szCs w:val="32"/>
        </w:rPr>
        <w:t>凉山州科协技术协会在项目决策和实施方面坚持“资金跟着项目走、项目跟着决策走”的理念，按照各级财政项目资金绩效管理的程序和要求，专项项目设立均经过事前评估。</w:t>
      </w:r>
      <w:r>
        <w:rPr>
          <w:rFonts w:hint="eastAsia" w:ascii="仿宋_GB2312" w:hAnsi="仿宋_GB2312" w:eastAsia="仿宋_GB2312" w:cs="仿宋_GB2312"/>
          <w:kern w:val="0"/>
          <w:sz w:val="32"/>
          <w:szCs w:val="32"/>
          <w:lang w:val="zh-CN"/>
        </w:rPr>
        <w:t>州本级</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val="zh-CN"/>
        </w:rPr>
        <w:t>项目的管理严谨、</w:t>
      </w:r>
      <w:r>
        <w:rPr>
          <w:rFonts w:hint="eastAsia" w:ascii="仿宋_GB2312" w:hAnsi="仿宋_GB2312" w:eastAsia="仿宋_GB2312" w:cs="仿宋_GB2312"/>
          <w:kern w:val="0"/>
          <w:sz w:val="32"/>
          <w:szCs w:val="32"/>
        </w:rPr>
        <w:t>严格执行《四川省科普专项资金管理办法》（川财教［2020］83号）、《凉山州科技计划项目专项资金管理办法》（凉财规［2020］2号）。党组要求各</w:t>
      </w:r>
      <w:r>
        <w:rPr>
          <w:rFonts w:hint="eastAsia" w:ascii="仿宋_GB2312" w:hAnsi="仿宋_GB2312" w:eastAsia="仿宋_GB2312" w:cs="仿宋_GB2312"/>
          <w:kern w:val="0"/>
          <w:sz w:val="32"/>
          <w:szCs w:val="32"/>
          <w:lang w:val="zh-CN"/>
        </w:rPr>
        <w:t>项目组</w:t>
      </w:r>
      <w:r>
        <w:rPr>
          <w:rFonts w:hint="eastAsia" w:ascii="仿宋_GB2312" w:hAnsi="仿宋_GB2312" w:eastAsia="仿宋_GB2312" w:cs="仿宋_GB2312"/>
          <w:kern w:val="0"/>
          <w:sz w:val="32"/>
          <w:szCs w:val="32"/>
        </w:rPr>
        <w:t>要事前进行调研，掌握必要的基本情况；事中加强实地考察以指导项目不偏离预期计划；事后组织对项目进行验收，确保项目实现目标。</w:t>
      </w:r>
      <w:r>
        <w:rPr>
          <w:rFonts w:hint="eastAsia" w:ascii="仿宋_GB2312" w:hAnsi="仿宋_GB2312" w:eastAsia="仿宋_GB2312" w:cs="仿宋_GB2312"/>
          <w:kern w:val="0"/>
          <w:sz w:val="32"/>
          <w:szCs w:val="32"/>
          <w:lang w:val="zh-CN"/>
        </w:rPr>
        <w:t>因此相关管理制度机制健全、组织程序完善</w:t>
      </w:r>
      <w:r>
        <w:rPr>
          <w:rFonts w:hint="eastAsia" w:ascii="宋体" w:hAnsi="宋体" w:cs="宋体"/>
          <w:kern w:val="0"/>
          <w:sz w:val="28"/>
          <w:szCs w:val="28"/>
          <w:lang w:val="zh-CN"/>
        </w:rPr>
        <w:t>。</w:t>
      </w:r>
    </w:p>
    <w:p>
      <w:pPr>
        <w:numPr>
          <w:ilvl w:val="0"/>
          <w:numId w:val="8"/>
        </w:numPr>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ind w:firstLine="640" w:firstLineChars="200"/>
        <w:textAlignment w:val="baseline"/>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在项目实施过程中，严格划分</w:t>
      </w:r>
      <w:r>
        <w:rPr>
          <w:rFonts w:hint="eastAsia" w:ascii="仿宋_GB2312" w:hAnsi="仿宋_GB2312" w:eastAsia="仿宋_GB2312" w:cs="仿宋_GB2312"/>
          <w:kern w:val="0"/>
          <w:sz w:val="32"/>
          <w:szCs w:val="32"/>
        </w:rPr>
        <w:t>单位的责、权、利，最大限度提高项目资金的使用效率。</w:t>
      </w:r>
      <w:r>
        <w:rPr>
          <w:rFonts w:hint="eastAsia" w:ascii="仿宋_GB2312" w:hAnsi="仿宋_GB2312" w:eastAsia="仿宋_GB2312" w:cs="仿宋_GB2312"/>
          <w:kern w:val="0"/>
          <w:sz w:val="32"/>
          <w:szCs w:val="32"/>
          <w:lang w:val="zh-CN"/>
        </w:rPr>
        <w:t>项目资金的使用符合国家财经法规和财务管理制度及有关专项资金管理办法规定、符合项目预算批复和合同规定用途，审批程序完整严谨；项目实施遵守相关法律法规，无截留、挤占、挪用、虚列支出等情况；项目完成后合同签订、验收报告、技术鉴定等资料齐全并及时归档。</w:t>
      </w:r>
      <w:r>
        <w:rPr>
          <w:rFonts w:hint="eastAsia" w:ascii="仿宋_GB2312" w:hAnsi="仿宋_GB2312" w:eastAsia="仿宋_GB2312" w:cs="仿宋_GB2312"/>
          <w:kern w:val="0"/>
          <w:sz w:val="32"/>
          <w:szCs w:val="32"/>
        </w:rPr>
        <w:t>确保州级科普专项资金使用安全、透明。</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2"/>
        <w:rPr>
          <w:rFonts w:hAnsi="仿宋_GB2312" w:cs="仿宋_GB2312"/>
          <w:kern w:val="0"/>
          <w:szCs w:val="32"/>
          <w:lang w:val="zh-CN"/>
        </w:rPr>
      </w:pPr>
      <w:r>
        <w:rPr>
          <w:rFonts w:hint="eastAsia" w:ascii="楷体_GB2312" w:hAnsi="宋体" w:eastAsia="楷体_GB2312"/>
          <w:b/>
          <w:szCs w:val="32"/>
        </w:rPr>
        <w:t xml:space="preserve">  </w:t>
      </w:r>
      <w:r>
        <w:rPr>
          <w:rFonts w:hint="eastAsia" w:hAnsi="仿宋_GB2312" w:cs="仿宋_GB2312"/>
          <w:kern w:val="0"/>
          <w:szCs w:val="32"/>
          <w:lang w:val="zh-CN"/>
        </w:rPr>
        <w:t xml:space="preserve">  2022年州级科普专项资金年初预算149.30万元，年中财政返还上年结余资金65万元，因其中25万元受疫情影响未完成目标任务被财政收回，故总计189.3万元。从项目完成的情况来看，前期项目支付进度缓慢，是因为受疫情的影响以及项目的工作性质所致，后期积极调整应对措施，在年终圆满完成所有项目任务和专项资金的支付。</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公共服务及基础设施运行保障项目资金37.30万元。组织了全州科协系统党员干部前往浙江省宁波市的考察学习交流，提升党员干部综合素质；为确保视讯中心正常运行、互联网+科普平台建设网络运行维护；召开三次以上科协业务工作会和参加上级科协及相关部门业务、党务培训；为新办公区采购办公设施及办公用品。</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（2）“天府科技云服务”专项工作。2022年开展全员常态化“保姆式”服务工作，完成56名专职科技保姆的招聘与培训工作，建立了集中培训和州云服务中心轮训工作机制,以此提升保姆服务能力。</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学会能力提升计划专项工作。加强科协系统学会工作,推动科协所属学会协会健康发展，着力提升学会服务创新能力，服务科技工作者能力。持续实施学会能力提升计划，在学会、协会自行申报的基础上，2022年度共计完成5个能力提升项目。</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青少年科技教育专项工作。成功举办第37届凉山州青少年科技创新大赛，全州共有17个县（市）480余所中小学校、幼儿园、职业学校的17.7万多名师生参赛，共征集参赛项目作品1140项，评出获奖项目828项。组织中小学校开展“2022年青少年科学调查体验活动”。全州共有16所中小学校开展此项活动，以科学调查、科学探究为载体，帮助学生在实践中激发科学兴趣、体验科学方法。同时，为活动实施学校配发了科普资源包180套。加强科技辅导员队伍建设，凉山州科协与四川省青少年科技教育协会联手，于11月在成都举办2022年青少年科学调查体验活动暨科学影像专项培训，来自全州16个县（市）部分中小学校的110名专兼职科技教师参加培训。来自北京、成都的14位专家名师到会授课。此次培训使参训教师学习和掌握了开展科学调查和科学影像活动的方式方法，对学校科普活动的开展有很好的引领和借鉴意义。</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（5）农技协科普专项工作。2022年针对</w:t>
      </w:r>
      <w:r>
        <w:rPr>
          <w:rFonts w:hint="eastAsia" w:ascii="仿宋_GB2312" w:hAnsi="仿宋_GB2312" w:eastAsia="仿宋_GB2312" w:cs="仿宋_GB2312"/>
          <w:kern w:val="0"/>
          <w:sz w:val="32"/>
          <w:szCs w:val="32"/>
          <w:lang w:val="zh-CN" w:eastAsia="en-US"/>
        </w:rPr>
        <w:t>乡村振兴重点县</w:t>
      </w:r>
      <w:r>
        <w:rPr>
          <w:rFonts w:hint="eastAsia" w:ascii="仿宋_GB2312" w:hAnsi="仿宋_GB2312" w:eastAsia="仿宋_GB2312" w:cs="仿宋_GB2312"/>
          <w:kern w:val="0"/>
          <w:sz w:val="32"/>
          <w:szCs w:val="32"/>
          <w:lang w:val="zh-CN"/>
        </w:rPr>
        <w:t>和工作突出的县级农技协开展5期种养殖技术培训，帮助和指导</w:t>
      </w:r>
      <w:r>
        <w:rPr>
          <w:rFonts w:hint="eastAsia" w:ascii="仿宋_GB2312" w:hAnsi="仿宋_GB2312" w:eastAsia="仿宋_GB2312" w:cs="仿宋_GB2312"/>
          <w:kern w:val="0"/>
          <w:sz w:val="32"/>
          <w:szCs w:val="32"/>
          <w:lang w:val="zh-CN" w:eastAsia="en-US"/>
        </w:rPr>
        <w:t>农村乡土人才</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eastAsia="en-US"/>
        </w:rPr>
        <w:t>科普带头人掌握相关产业的技术</w:t>
      </w:r>
      <w:r>
        <w:rPr>
          <w:rFonts w:hint="eastAsia" w:ascii="仿宋_GB2312" w:hAnsi="仿宋_GB2312" w:eastAsia="仿宋_GB2312" w:cs="仿宋_GB2312"/>
          <w:kern w:val="0"/>
          <w:sz w:val="32"/>
          <w:szCs w:val="32"/>
          <w:lang w:val="zh-CN"/>
        </w:rPr>
        <w:t>。使农民年经济收入普遍增多，农村科普技术得到普及，从而助力乡村振兴。</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院士（专家）工作站建设及企事业科协建设专项工作。围绕我州经济社会发展需要，柔性引进省内外高层次专家等资源，助力“攀西经济区建设”发展战略，为构建凉山现代产业体系、提升创新能力和培育发展新动能提供人才智力支撑，截止11月底，已建成省、州两级院士（专家）工作站共12家，直接增收近2千余万元。申报建站单位6家，拟建站单位3家，为推动凉山经济高质量发展再上新台阶提供人才保证和技术支撑。有序推进“菁英计划”工作，积极开展“菁英计划”杰出科技工作者评选工作，截止9月，共收到申报材料16人，评审出6名候选人上报凉山州委组织部参加终评，进一步服务推动凉山高质量跨越式发展、巩固脱贫攻坚成果。</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7）乡村振兴科普宣传专项工作。赠送巴尔村小8块科普宣传栏，按季度更换科学生产生活知识、禁毒防艾知识，将科普知识送到巴尔村小师生身边，培养他们主动获取科普知识的习惯。通过对科普知识的宣传，形成良好的环境氛围，培养村民形成健康、良好的生活方式。开展2期种养殖培训，让广大农户掌握必备的种养殖基本知识，进一步提升巴尔村种养殖业的能力和水平，增强农户发展农业的信心，努力为群众增产增收。</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8）科学技术普及宣传示范创建专项工作。采取线上线下相结合的方式，多形式多渠道开展“喜迎二十大.科普向未来”全国科普日活动，惠及17县市干群20万余人。9月，开展“科普进乡村.大篷车进校园”活动，深入4个县（市）的10多个学校和社区（村）。开展科普表演、科普展示、科普讲座等丰富多彩的活动20余场次，发放宣传单5万余份，参加活动师生多达10万余人。</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2022年因年受不可控因素新冠疫情的影响，部分项目目标尚未完成，如干部能力提升培训，但其余所有项目目标均按时完成。有些项目受客观因素的制约，前期实施进度缓慢，资金下拨稍有滞后，如学会能力提升计划、“菁英计划”、院士专家工作站，工作程序繁琐，需工作全部完成后才能支付资金。有些项目受特定的时间条件限制，如“全国科普日”活动，党组多次召开会议部署前期工作，要求按照年初预算和计划推动工作。各项目工作的完成能够以点带面、起到了较好的辐射作用，能够实现提高产业效能、取得一定的经济效益和深远的社会等效益。2022年圆满完成各专项工作任务，并取得良好的成绩。我们从项目的立项政策依据、项目实施管理办法、完成结果所产生的经济效益、社会效益、生态效益、社会效益、服务对象满意度等方面并结合项目支出绩效评价指标体系对项目进行总体评价，总体情况良好，因前期项资金使用进度缓慢，故自评扣分5分；得分95分。</w:t>
      </w:r>
    </w:p>
    <w:p>
      <w:pPr>
        <w:numPr>
          <w:ilvl w:val="0"/>
          <w:numId w:val="9"/>
        </w:numPr>
        <w:adjustRightInd w:val="0"/>
        <w:snapToGrid w:val="0"/>
        <w:spacing w:line="578" w:lineRule="exact"/>
        <w:ind w:firstLine="720"/>
        <w:rPr>
          <w:rFonts w:ascii="仿宋_GB2312" w:hAnsi="Calibri" w:eastAsia="仿宋_GB2312" w:cs="仿宋"/>
          <w:kern w:val="0"/>
          <w:sz w:val="32"/>
          <w:szCs w:val="32"/>
          <w:lang w:val="zh-CN"/>
        </w:rPr>
      </w:pPr>
      <w:r>
        <w:rPr>
          <w:rFonts w:hint="eastAsia" w:ascii="楷体_GB2312" w:hAnsi="宋体" w:eastAsia="楷体_GB2312"/>
          <w:b/>
          <w:sz w:val="32"/>
          <w:szCs w:val="32"/>
          <w:lang w:val="zh-CN"/>
        </w:rPr>
        <w:t>存在的问题。</w:t>
      </w:r>
    </w:p>
    <w:p>
      <w:pPr>
        <w:ind w:firstLine="560" w:firstLineChars="200"/>
        <w:rPr>
          <w:rFonts w:ascii="仿宋_GB2312" w:hAnsi="仿宋_GB2312" w:eastAsia="仿宋_GB2312" w:cs="仿宋_GB2312"/>
          <w:kern w:val="0"/>
          <w:sz w:val="32"/>
          <w:szCs w:val="32"/>
          <w:lang w:val="zh-CN"/>
        </w:rPr>
      </w:pPr>
      <w:r>
        <w:rPr>
          <w:rFonts w:hint="eastAsia" w:ascii="宋体" w:hAnsi="宋体" w:cs="宋体"/>
          <w:kern w:val="0"/>
          <w:sz w:val="28"/>
          <w:szCs w:val="28"/>
        </w:rPr>
        <w:t>（</w:t>
      </w:r>
      <w:r>
        <w:rPr>
          <w:rFonts w:hint="eastAsia" w:ascii="仿宋_GB2312" w:hAnsi="仿宋_GB2312" w:eastAsia="仿宋_GB2312" w:cs="仿宋_GB2312"/>
          <w:kern w:val="0"/>
          <w:sz w:val="32"/>
          <w:szCs w:val="32"/>
          <w:lang w:val="zh-CN"/>
        </w:rPr>
        <w:t>1）前期专项资金使用进度缓慢，影响资金使用率。</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（2）项目资金虽然编制有绩效目标，但不够细化和量化。</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（3）各项目组在实施过程中要加强跟踪问效。</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ind w:firstLine="560" w:firstLineChars="200"/>
        <w:rPr>
          <w:rFonts w:ascii="仿宋_GB2312" w:hAnsi="仿宋_GB2312" w:eastAsia="仿宋_GB2312" w:cs="仿宋_GB2312"/>
          <w:kern w:val="0"/>
          <w:sz w:val="32"/>
          <w:szCs w:val="32"/>
          <w:lang w:val="zh-CN"/>
        </w:rPr>
      </w:pPr>
      <w:r>
        <w:rPr>
          <w:rFonts w:hint="eastAsia" w:ascii="宋体" w:hAnsi="宋体" w:cs="宋体"/>
          <w:kern w:val="0"/>
          <w:sz w:val="28"/>
          <w:szCs w:val="28"/>
          <w:lang w:val="zh-CN"/>
        </w:rPr>
        <w:t>（</w:t>
      </w:r>
      <w:r>
        <w:rPr>
          <w:rFonts w:hint="eastAsia" w:ascii="仿宋_GB2312" w:hAnsi="仿宋_GB2312" w:eastAsia="仿宋_GB2312" w:cs="仿宋_GB2312"/>
          <w:kern w:val="0"/>
          <w:sz w:val="32"/>
          <w:szCs w:val="32"/>
          <w:lang w:val="zh-CN"/>
        </w:rPr>
        <w:t>1）加强沟通协作，着力解决前期项目资金使用率不高的问题。</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（2）科普专项资金绩效评价工作，涉及面广，内容较复杂。各项目组要提早规划布置，做好资料收集工作。</w:t>
      </w:r>
    </w:p>
    <w:p>
      <w:pPr>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（3）进一步规范绩效目标编制和管理。严格按照相关文件要求，在编制项目资金绩效目标时要求指向明确、细化量化、合理可行；完善管理制度，严格执行相关使用规定。</w:t>
      </w:r>
    </w:p>
    <w:p>
      <w:pPr>
        <w:spacing w:line="580" w:lineRule="exact"/>
        <w:rPr>
          <w:rStyle w:val="32"/>
          <w:rFonts w:ascii="黑体" w:hAnsi="黑体" w:eastAsia="黑体"/>
          <w:b w:val="0"/>
        </w:rPr>
      </w:pPr>
      <w:r>
        <w:rPr>
          <w:rStyle w:val="32"/>
          <w:rFonts w:ascii="黑体" w:hAnsi="黑体" w:eastAsia="黑体"/>
          <w:b w:val="0"/>
        </w:rPr>
        <w:br w:type="page"/>
      </w:r>
    </w:p>
    <w:tbl>
      <w:tblPr>
        <w:tblStyle w:val="18"/>
        <w:tblW w:w="10800" w:type="dxa"/>
        <w:tblInd w:w="-1107" w:type="dxa"/>
        <w:tblLayout w:type="fixed"/>
        <w:tblCellMar>
          <w:top w:w="0" w:type="dxa"/>
          <w:left w:w="108" w:type="dxa"/>
          <w:bottom w:w="0" w:type="dxa"/>
          <w:right w:w="108" w:type="dxa"/>
        </w:tblCellMar>
      </w:tblPr>
      <w:tblGrid>
        <w:gridCol w:w="779"/>
        <w:gridCol w:w="1687"/>
        <w:gridCol w:w="894"/>
        <w:gridCol w:w="2019"/>
        <w:gridCol w:w="831"/>
        <w:gridCol w:w="244"/>
        <w:gridCol w:w="523"/>
        <w:gridCol w:w="320"/>
        <w:gridCol w:w="421"/>
        <w:gridCol w:w="231"/>
        <w:gridCol w:w="331"/>
        <w:gridCol w:w="473"/>
        <w:gridCol w:w="536"/>
        <w:gridCol w:w="1511"/>
      </w:tblGrid>
      <w:tr>
        <w:tblPrEx>
          <w:tblCellMar>
            <w:top w:w="0" w:type="dxa"/>
            <w:left w:w="108" w:type="dxa"/>
            <w:bottom w:w="0" w:type="dxa"/>
            <w:right w:w="108" w:type="dxa"/>
          </w:tblCellMar>
        </w:tblPrEx>
        <w:trPr>
          <w:trHeight w:val="322" w:hRule="atLeast"/>
        </w:trPr>
        <w:tc>
          <w:tcPr>
            <w:tcW w:w="10800"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trHeight w:val="257" w:hRule="atLeast"/>
        </w:trPr>
        <w:tc>
          <w:tcPr>
            <w:tcW w:w="24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334"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51340022T000000278908-凉山州级科普专项经费</w:t>
            </w:r>
          </w:p>
        </w:tc>
      </w:tr>
      <w:tr>
        <w:tblPrEx>
          <w:tblCellMar>
            <w:top w:w="0" w:type="dxa"/>
            <w:left w:w="108" w:type="dxa"/>
            <w:bottom w:w="0" w:type="dxa"/>
            <w:right w:w="108" w:type="dxa"/>
          </w:tblCellMar>
        </w:tblPrEx>
        <w:trPr>
          <w:trHeight w:val="371" w:hRule="atLeast"/>
        </w:trPr>
        <w:tc>
          <w:tcPr>
            <w:tcW w:w="24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398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843" w:type="dxa"/>
            <w:gridSpan w:val="2"/>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5"/>
                <w:szCs w:val="15"/>
              </w:rPr>
              <w:t>实施单位 （盖章）</w:t>
            </w:r>
          </w:p>
        </w:tc>
        <w:tc>
          <w:tcPr>
            <w:tcW w:w="350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trHeight w:val="210"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6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398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34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trHeight w:val="2165"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687"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398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围绕省科协天府科技云服务重点工作，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更好为凉山经济社会发展服务。</w:t>
            </w:r>
          </w:p>
        </w:tc>
        <w:tc>
          <w:tcPr>
            <w:tcW w:w="434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5"/>
                <w:szCs w:val="15"/>
              </w:rPr>
            </w:pPr>
            <w:r>
              <w:rPr>
                <w:rFonts w:hint="eastAsia" w:ascii="黑体" w:hAnsi="黑体" w:eastAsia="黑体" w:cs="黑体"/>
                <w:color w:val="000000"/>
                <w:kern w:val="0"/>
                <w:sz w:val="15"/>
                <w:szCs w:val="15"/>
              </w:rPr>
              <w:t>年度围绕省科协天府科技云服务重点工作，完成了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参加中国科协、省科协及相关部门业务、党务培训；科普进乡村、大篷车进校园活动，深入企业村组社区等开展科普活动，更好为凉山经济社会发展服务。</w:t>
            </w:r>
          </w:p>
        </w:tc>
      </w:tr>
      <w:tr>
        <w:tblPrEx>
          <w:tblCellMar>
            <w:top w:w="0" w:type="dxa"/>
            <w:left w:w="108" w:type="dxa"/>
            <w:bottom w:w="0" w:type="dxa"/>
            <w:right w:w="108" w:type="dxa"/>
          </w:tblCellMar>
        </w:tblPrEx>
        <w:trPr>
          <w:trHeight w:val="1092"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334"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2022年围绕省科协天府科技云服务重点工作，实施完成了继续深入开展学术交流，传播科学思想，普及科技知识，推广先进技术，提高公众科学素质，表彰奖励优秀科技工作者，助力全州乡村振兴，维护视讯中心、互联网+科普平台建设网络运行，补充必要设施等公共服务及各项基础工作；实施学会能力提升计划、活动；开发科普资源，制作科普宣传光碟、编印科普资料；组织开展青少年科技创新教育活动、院士专家工作站及企事业科协建设；组织全州科协系统干部能力提升培训，参加中国科协、省科协及相关部门业务、党务培训；科普进乡村、大篷车进校园活动，深入企业村组社区等开展科普活动，更好为凉山经济社会发展服务。</w:t>
            </w:r>
          </w:p>
        </w:tc>
      </w:tr>
      <w:tr>
        <w:tblPrEx>
          <w:tblCellMar>
            <w:top w:w="0" w:type="dxa"/>
            <w:left w:w="108" w:type="dxa"/>
            <w:bottom w:w="0" w:type="dxa"/>
            <w:right w:w="108" w:type="dxa"/>
          </w:tblCellMar>
        </w:tblPrEx>
        <w:trPr>
          <w:trHeight w:val="371"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trHeight w:val="37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149.30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0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5"/>
                <w:szCs w:val="15"/>
              </w:rPr>
              <w:t>年度追拨州级科普专项资金37届州青少年科创赛15万元、干部能力提升等培训费30万元、院士专家工作站补助经费15万元、科普日活动5万元。共计65万元；因新冠疫情反复发生、无法实施干部能力提升培训，上缴财政25万元。实际追拨40万元。</w:t>
            </w:r>
          </w:p>
        </w:tc>
      </w:tr>
      <w:tr>
        <w:tblPrEx>
          <w:tblCellMar>
            <w:top w:w="0" w:type="dxa"/>
            <w:left w:w="108" w:type="dxa"/>
            <w:bottom w:w="0" w:type="dxa"/>
            <w:right w:w="108" w:type="dxa"/>
          </w:tblCellMar>
        </w:tblPrEx>
        <w:trPr>
          <w:trHeight w:val="37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149.30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189.30</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财政专户管理资金</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8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0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894"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2019"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1075"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6"/>
                <w:szCs w:val="16"/>
              </w:rPr>
            </w:pP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04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4"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一级指标</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二级指标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三级指标</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指标性质</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指标值</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度量单位</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完成值</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权重</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得分</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未完成原因分析</w:t>
            </w:r>
          </w:p>
        </w:tc>
      </w:tr>
      <w:tr>
        <w:tblPrEx>
          <w:tblCellMar>
            <w:top w:w="0" w:type="dxa"/>
            <w:left w:w="108" w:type="dxa"/>
            <w:bottom w:w="0" w:type="dxa"/>
            <w:right w:w="108" w:type="dxa"/>
          </w:tblCellMar>
        </w:tblPrEx>
        <w:trPr>
          <w:trHeight w:val="247"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产出指标</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数量指标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共由8个大项目组成</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8</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个（套）</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5"/>
                <w:szCs w:val="15"/>
              </w:rPr>
            </w:pPr>
            <w:r>
              <w:rPr>
                <w:rFonts w:hint="eastAsia" w:ascii="微软雅黑" w:hAnsi="微软雅黑" w:eastAsia="微软雅黑" w:cs="微软雅黑"/>
                <w:i/>
                <w:iCs/>
                <w:color w:val="000000"/>
                <w:kern w:val="0"/>
                <w:sz w:val="15"/>
                <w:szCs w:val="15"/>
              </w:rPr>
              <w:t>无</w:t>
            </w:r>
          </w:p>
        </w:tc>
      </w:tr>
      <w:tr>
        <w:tblPrEx>
          <w:tblCellMar>
            <w:top w:w="0" w:type="dxa"/>
            <w:left w:w="108" w:type="dxa"/>
            <w:bottom w:w="0" w:type="dxa"/>
            <w:right w:w="108" w:type="dxa"/>
          </w:tblCellMar>
        </w:tblPrEx>
        <w:trPr>
          <w:trHeight w:val="55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8个大项目经各职能科室精心策划，较高质量提请党组集体论的工作安排。</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无</w:t>
            </w:r>
          </w:p>
        </w:tc>
      </w:tr>
      <w:tr>
        <w:tblPrEx>
          <w:tblCellMar>
            <w:top w:w="0" w:type="dxa"/>
            <w:left w:w="108" w:type="dxa"/>
            <w:bottom w:w="0" w:type="dxa"/>
            <w:right w:w="108" w:type="dxa"/>
          </w:tblCellMar>
        </w:tblPrEx>
        <w:trPr>
          <w:trHeight w:val="466"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2022年1-12月完成</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年</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8</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前期支付缓慢，扣2分。</w:t>
            </w:r>
          </w:p>
        </w:tc>
      </w:tr>
      <w:tr>
        <w:tblPrEx>
          <w:tblCellMar>
            <w:top w:w="0" w:type="dxa"/>
            <w:left w:w="108" w:type="dxa"/>
            <w:bottom w:w="0" w:type="dxa"/>
            <w:right w:w="108" w:type="dxa"/>
          </w:tblCellMar>
        </w:tblPrEx>
        <w:trPr>
          <w:trHeight w:val="55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共计8个大项目、金额149.3万元（不含预留财政60万元）</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149.3</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万元</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189.3</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20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18</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预算经济科目编制不够准确，扣分2分。</w:t>
            </w:r>
          </w:p>
        </w:tc>
      </w:tr>
      <w:tr>
        <w:tblPrEx>
          <w:tblCellMar>
            <w:top w:w="0" w:type="dxa"/>
            <w:left w:w="108" w:type="dxa"/>
            <w:bottom w:w="0" w:type="dxa"/>
            <w:right w:w="108" w:type="dxa"/>
          </w:tblCellMar>
        </w:tblPrEx>
        <w:trPr>
          <w:trHeight w:val="37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2022年内完成8个大项目任务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8</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个（套）</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8</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无</w:t>
            </w:r>
          </w:p>
        </w:tc>
      </w:tr>
      <w:tr>
        <w:tblPrEx>
          <w:tblCellMar>
            <w:top w:w="0" w:type="dxa"/>
            <w:left w:w="108" w:type="dxa"/>
            <w:bottom w:w="0" w:type="dxa"/>
            <w:right w:w="108" w:type="dxa"/>
          </w:tblCellMar>
        </w:tblPrEx>
        <w:trPr>
          <w:trHeight w:val="1273"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5"/>
                <w:szCs w:val="15"/>
              </w:rPr>
            </w:pPr>
            <w:r>
              <w:rPr>
                <w:rFonts w:ascii="宋体" w:hAnsi="宋体" w:cs="宋体"/>
                <w:color w:val="000000"/>
                <w:kern w:val="0"/>
                <w:sz w:val="15"/>
                <w:szCs w:val="15"/>
              </w:rPr>
              <w:t>组织全州科技人员和科普志愿者开展宣传科普知识、科普主题活动；在全州贫困地区开展科普进农民夜校工作，传播科学思想、倡导科学方法，激发群众的内生动力，助力乡村振兴。</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项</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10</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无</w:t>
            </w:r>
          </w:p>
        </w:tc>
      </w:tr>
      <w:tr>
        <w:tblPrEx>
          <w:tblCellMar>
            <w:top w:w="0" w:type="dxa"/>
            <w:left w:w="108" w:type="dxa"/>
            <w:bottom w:w="0" w:type="dxa"/>
            <w:right w:w="108" w:type="dxa"/>
          </w:tblCellMar>
        </w:tblPrEx>
        <w:trPr>
          <w:trHeight w:val="551"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89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201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5"/>
                <w:szCs w:val="15"/>
              </w:rPr>
            </w:pPr>
            <w:r>
              <w:rPr>
                <w:rFonts w:ascii="宋体" w:hAnsi="宋体" w:cs="宋体"/>
                <w:color w:val="000000"/>
                <w:kern w:val="0"/>
                <w:sz w:val="15"/>
                <w:szCs w:val="15"/>
              </w:rPr>
              <w:t>相关部门、群众满意度能够达到95%左右。</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6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95</w:t>
            </w:r>
          </w:p>
        </w:tc>
        <w:tc>
          <w:tcPr>
            <w:tcW w:w="7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w:t>
            </w:r>
          </w:p>
        </w:tc>
        <w:tc>
          <w:tcPr>
            <w:tcW w:w="56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95</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w:t>
            </w:r>
          </w:p>
        </w:tc>
        <w:tc>
          <w:tcPr>
            <w:tcW w:w="536"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9</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服务对象满意度达不到100%，故扣1分。</w:t>
            </w:r>
          </w:p>
        </w:tc>
      </w:tr>
      <w:tr>
        <w:tblPrEx>
          <w:tblCellMar>
            <w:top w:w="0" w:type="dxa"/>
            <w:left w:w="108" w:type="dxa"/>
            <w:bottom w:w="0" w:type="dxa"/>
            <w:right w:w="108" w:type="dxa"/>
          </w:tblCellMar>
        </w:tblPrEx>
        <w:trPr>
          <w:trHeight w:val="342" w:hRule="atLeast"/>
        </w:trPr>
        <w:tc>
          <w:tcPr>
            <w:tcW w:w="7297"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合计</w:t>
            </w:r>
          </w:p>
        </w:tc>
        <w:tc>
          <w:tcPr>
            <w:tcW w:w="65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3"/>
                <w:szCs w:val="13"/>
              </w:rPr>
            </w:pPr>
            <w:r>
              <w:rPr>
                <w:rFonts w:ascii="宋体" w:hAnsi="宋体" w:cs="宋体"/>
                <w:color w:val="000000"/>
                <w:kern w:val="0"/>
                <w:sz w:val="13"/>
                <w:szCs w:val="13"/>
              </w:rPr>
              <w:t>100</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3"/>
                <w:szCs w:val="13"/>
              </w:rPr>
            </w:pPr>
            <w:r>
              <w:rPr>
                <w:rFonts w:ascii="宋体" w:hAnsi="宋体" w:cs="宋体"/>
                <w:color w:val="000000"/>
                <w:kern w:val="0"/>
                <w:sz w:val="13"/>
                <w:szCs w:val="13"/>
              </w:rPr>
              <w:t>95</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3"/>
                <w:szCs w:val="13"/>
              </w:rPr>
            </w:pPr>
          </w:p>
        </w:tc>
      </w:tr>
      <w:tr>
        <w:tblPrEx>
          <w:tblCellMar>
            <w:top w:w="0" w:type="dxa"/>
            <w:left w:w="108" w:type="dxa"/>
            <w:bottom w:w="0" w:type="dxa"/>
            <w:right w:w="108" w:type="dxa"/>
          </w:tblCellMar>
        </w:tblPrEx>
        <w:trPr>
          <w:trHeight w:val="551"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10021"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围绕省科协天府科技云服务重点工作，5个项目组完成了设定的表彰奖励优秀科技工作者，维护视讯中心、互联网+科普平台建设网络运行，实施学会能力提升计划；开发科普资源；组织开展青少年科技创新教育活动；院士专家工作站及企事业科协建设；参加中国科协省科协及相关部门业务党务培训；开展科普进乡村大篷车进校园等科普活动等任务任务，项目的实施助推了凉山经济社会发展。从产出、效益、满意度等指标进行了以上打分，预算执行率100%，执行情况良好，自评得分95分。</w:t>
            </w:r>
          </w:p>
        </w:tc>
      </w:tr>
      <w:tr>
        <w:tblPrEx>
          <w:tblCellMar>
            <w:top w:w="0" w:type="dxa"/>
            <w:left w:w="108" w:type="dxa"/>
            <w:bottom w:w="0" w:type="dxa"/>
            <w:right w:w="108" w:type="dxa"/>
          </w:tblCellMar>
        </w:tblPrEx>
        <w:trPr>
          <w:trHeight w:val="349"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10021"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因新冠疫情反复发生部分项目资金支付前期较缓慢，影响了资金使用效率。预算经济科目编制不够准确，与实际支出存在差异。</w:t>
            </w:r>
          </w:p>
        </w:tc>
      </w:tr>
      <w:tr>
        <w:tblPrEx>
          <w:tblCellMar>
            <w:top w:w="0" w:type="dxa"/>
            <w:left w:w="108" w:type="dxa"/>
            <w:bottom w:w="0" w:type="dxa"/>
            <w:right w:w="108" w:type="dxa"/>
          </w:tblCellMar>
        </w:tblPrEx>
        <w:trPr>
          <w:trHeight w:val="444"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10021" w:type="dxa"/>
            <w:gridSpan w:val="1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3"/>
                <w:szCs w:val="13"/>
              </w:rPr>
            </w:pPr>
            <w:r>
              <w:rPr>
                <w:rFonts w:hint="eastAsia" w:ascii="微软雅黑" w:hAnsi="微软雅黑" w:eastAsia="微软雅黑" w:cs="微软雅黑"/>
                <w:i/>
                <w:iCs/>
                <w:color w:val="000000"/>
                <w:kern w:val="0"/>
                <w:sz w:val="13"/>
                <w:szCs w:val="13"/>
              </w:rPr>
              <w:t>项目组应设定备选方案，并与财务及时沟通，尽量减少因客观原因造成项目无法实施形成沉淀资金，努力提高资金使用效率。经济科目预算编制应尽量准确。</w:t>
            </w:r>
          </w:p>
        </w:tc>
      </w:tr>
      <w:tr>
        <w:tblPrEx>
          <w:tblCellMar>
            <w:top w:w="0" w:type="dxa"/>
            <w:left w:w="108" w:type="dxa"/>
            <w:bottom w:w="0" w:type="dxa"/>
            <w:right w:w="108" w:type="dxa"/>
          </w:tblCellMar>
        </w:tblPrEx>
        <w:trPr>
          <w:trHeight w:val="318" w:hRule="atLeast"/>
        </w:trPr>
        <w:tc>
          <w:tcPr>
            <w:tcW w:w="621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项目负责人：凌静、赵菲、吴家英、吴朝兰、李阳德</w:t>
            </w:r>
          </w:p>
        </w:tc>
        <w:tc>
          <w:tcPr>
            <w:tcW w:w="4590"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bl>
    <w:p>
      <w:pPr>
        <w:widowControl/>
        <w:jc w:val="left"/>
        <w:rPr>
          <w:rStyle w:val="32"/>
          <w:rFonts w:ascii="黑体" w:hAnsi="黑体" w:eastAsia="黑体"/>
          <w:b w:val="0"/>
        </w:rPr>
      </w:pPr>
    </w:p>
    <w:p>
      <w:pPr>
        <w:pStyle w:val="6"/>
        <w:spacing w:before="93"/>
        <w:rPr>
          <w:sz w:val="32"/>
          <w:szCs w:val="32"/>
        </w:rPr>
      </w:pPr>
      <w:bookmarkStart w:id="48" w:name="_Toc15396618"/>
      <w:r>
        <w:rPr>
          <w:rFonts w:hint="eastAsia" w:hAnsi="宋体" w:cs="宋体"/>
          <w:sz w:val="32"/>
          <w:szCs w:val="32"/>
          <w:shd w:val="clear" w:color="auto" w:fill="FFFFFF"/>
          <w:lang w:val="zh-CN"/>
        </w:rPr>
        <w:t>附件</w:t>
      </w:r>
      <w:r>
        <w:rPr>
          <w:rFonts w:hint="eastAsia" w:hAnsi="宋体" w:cs="宋体"/>
          <w:sz w:val="32"/>
          <w:szCs w:val="32"/>
          <w:shd w:val="clear" w:color="auto" w:fill="FFFFFF"/>
        </w:rPr>
        <w:t>2-2</w:t>
      </w:r>
    </w:p>
    <w:p>
      <w:pPr>
        <w:pStyle w:val="38"/>
        <w:spacing w:line="578" w:lineRule="exact"/>
        <w:ind w:firstLine="640"/>
        <w:jc w:val="center"/>
        <w:rPr>
          <w:rFonts w:ascii="宋体" w:hAnsi="宋体"/>
          <w:b/>
          <w:bCs/>
          <w:color w:val="auto"/>
          <w:kern w:val="2"/>
          <w:sz w:val="32"/>
          <w:szCs w:val="32"/>
          <w:lang w:val="en-US"/>
        </w:rPr>
      </w:pPr>
      <w:r>
        <w:rPr>
          <w:rFonts w:hint="eastAsia" w:ascii="宋体" w:hAnsi="宋体"/>
          <w:b/>
          <w:bCs/>
          <w:color w:val="auto"/>
          <w:kern w:val="2"/>
          <w:sz w:val="32"/>
          <w:szCs w:val="32"/>
          <w:lang w:val="en-US"/>
        </w:rPr>
        <w:t>凉山州科学技术协会</w:t>
      </w:r>
    </w:p>
    <w:p>
      <w:pPr>
        <w:pStyle w:val="38"/>
        <w:spacing w:line="578" w:lineRule="exact"/>
        <w:ind w:firstLine="640"/>
        <w:jc w:val="center"/>
        <w:rPr>
          <w:rFonts w:ascii="宋体" w:hAnsi="宋体"/>
          <w:b/>
          <w:bCs/>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w:t>
      </w:r>
      <w:r>
        <w:rPr>
          <w:rFonts w:hint="eastAsia" w:ascii="宋体" w:hAnsi="宋体"/>
          <w:b/>
          <w:bCs/>
          <w:color w:val="auto"/>
          <w:kern w:val="2"/>
          <w:sz w:val="32"/>
          <w:szCs w:val="32"/>
          <w:lang w:val="en-US"/>
        </w:rPr>
        <w:t>022年州级科普专项资金科普活动业务项目绩效自评报告</w:t>
      </w:r>
    </w:p>
    <w:p>
      <w:pPr>
        <w:pStyle w:val="38"/>
        <w:spacing w:line="578" w:lineRule="exact"/>
        <w:ind w:firstLine="640"/>
        <w:rPr>
          <w:rFonts w:ascii="宋体" w:hAnsi="宋体"/>
          <w:b/>
          <w:bCs/>
          <w:color w:val="auto"/>
          <w:kern w:val="2"/>
          <w:sz w:val="32"/>
          <w:szCs w:val="32"/>
        </w:rPr>
      </w:pPr>
      <w:r>
        <w:rPr>
          <w:rFonts w:hint="eastAsia" w:ascii="宋体" w:hAnsi="宋体"/>
          <w:b/>
          <w:bCs/>
          <w:color w:val="auto"/>
          <w:kern w:val="2"/>
          <w:sz w:val="32"/>
          <w:szCs w:val="32"/>
          <w:lang w:val="en-US"/>
        </w:rPr>
        <w:t>一、</w:t>
      </w:r>
      <w:r>
        <w:rPr>
          <w:rFonts w:hint="eastAsia" w:ascii="宋体" w:hAnsi="宋体"/>
          <w:b/>
          <w:bCs/>
          <w:color w:val="auto"/>
          <w:kern w:val="2"/>
          <w:sz w:val="32"/>
          <w:szCs w:val="32"/>
        </w:rPr>
        <w:t>项目概况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1．凉山州科学技术协会（以下简称州科协）在该项目管理中的职能。</w:t>
      </w:r>
    </w:p>
    <w:p>
      <w:pPr>
        <w:adjustRightInd w:val="0"/>
        <w:snapToGrid w:val="0"/>
        <w:spacing w:line="600" w:lineRule="exact"/>
        <w:ind w:firstLine="720"/>
        <w:rPr>
          <w:rFonts w:ascii="仿宋" w:hAnsi="仿宋" w:eastAsia="仿宋" w:cs="仿宋"/>
          <w:kern w:val="0"/>
          <w:shd w:val="clear" w:color="auto" w:fill="FFFFFF"/>
          <w:lang w:val="zh-CN"/>
        </w:rPr>
      </w:pPr>
      <w:r>
        <w:rPr>
          <w:rFonts w:hint="eastAsia" w:ascii="仿宋_GB2312" w:hAnsi="仿宋_GB2312" w:eastAsia="仿宋_GB2312" w:cs="仿宋_GB2312"/>
          <w:kern w:val="0"/>
          <w:sz w:val="32"/>
          <w:szCs w:val="32"/>
          <w:shd w:val="clear" w:color="auto" w:fill="FFFFFF"/>
        </w:rPr>
        <w:t>2022年依据</w:t>
      </w:r>
      <w:r>
        <w:rPr>
          <w:rFonts w:hint="eastAsia" w:ascii="仿宋_GB2312" w:hAnsi="Calibri" w:eastAsia="仿宋_GB2312" w:cs="仿宋"/>
          <w:kern w:val="0"/>
          <w:sz w:val="32"/>
          <w:szCs w:val="32"/>
        </w:rPr>
        <w:t>下属二级事业单位青少年科技活动中心工作计划，经党组集体研究决定，项目“科普宣传活动业务”由其中心承担，项目主要用于</w:t>
      </w:r>
      <w:r>
        <w:rPr>
          <w:rFonts w:hint="eastAsia" w:ascii="仿宋_GB2312" w:hAnsi="Calibri" w:eastAsia="仿宋_GB2312" w:cs="仿宋"/>
          <w:kern w:val="0"/>
          <w:sz w:val="32"/>
          <w:szCs w:val="32"/>
          <w:lang w:val="zh-CN"/>
        </w:rPr>
        <w:t>青少年科学研学活动。</w:t>
      </w:r>
      <w:r>
        <w:rPr>
          <w:rFonts w:hint="eastAsia" w:ascii="仿宋_GB2312" w:hAnsi="Calibri" w:eastAsia="仿宋_GB2312" w:cs="仿宋"/>
          <w:kern w:val="0"/>
          <w:sz w:val="32"/>
          <w:szCs w:val="32"/>
        </w:rPr>
        <w:t>凉山州科学技术协会（以下简称州科协）是项目组织、实施和监管的主管单位。州科协党组要求项目组履职履责，按照年初项目预算，加强项目推进管理、跟进支付进度、减少存量资金的发生，努力完成任务。</w:t>
      </w:r>
    </w:p>
    <w:p>
      <w:pPr>
        <w:widowControl/>
        <w:numPr>
          <w:ilvl w:val="0"/>
          <w:numId w:val="10"/>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项目立项、资金申报的依据。</w:t>
      </w:r>
    </w:p>
    <w:p>
      <w:pPr>
        <w:pStyle w:val="22"/>
        <w:ind w:firstLine="640" w:firstLineChars="200"/>
      </w:pPr>
      <w:r>
        <w:rPr>
          <w:rFonts w:hint="eastAsia" w:ascii="方正公文仿宋" w:hAnsi="方正公文仿宋" w:eastAsia="方正公文仿宋" w:cs="方正公文仿宋"/>
        </w:rPr>
        <w:t>2022年</w:t>
      </w:r>
      <w:r>
        <w:rPr>
          <w:rFonts w:hint="eastAsia" w:hAnsi="Calibri" w:cs="仿宋"/>
          <w:kern w:val="0"/>
          <w:szCs w:val="32"/>
        </w:rPr>
        <w:t>“科普宣传活动业务”项目</w:t>
      </w:r>
      <w:r>
        <w:rPr>
          <w:rFonts w:hint="eastAsia" w:ascii="方正公文仿宋" w:hAnsi="方正公文仿宋" w:eastAsia="方正公文仿宋" w:cs="方正公文仿宋"/>
        </w:rPr>
        <w:t>，</w:t>
      </w:r>
      <w:r>
        <w:rPr>
          <w:rFonts w:hint="eastAsia" w:hAnsi="Calibri" w:cs="仿宋"/>
          <w:kern w:val="0"/>
          <w:szCs w:val="32"/>
        </w:rPr>
        <w:t>主要用于</w:t>
      </w:r>
      <w:r>
        <w:rPr>
          <w:rFonts w:hint="eastAsia" w:hAnsi="Calibri" w:cs="仿宋"/>
          <w:kern w:val="0"/>
          <w:szCs w:val="32"/>
          <w:lang w:val="zh-CN"/>
        </w:rPr>
        <w:t>青少年科学研学活动，计划资金</w:t>
      </w:r>
      <w:r>
        <w:rPr>
          <w:rFonts w:hint="eastAsia" w:hAnsi="Calibri" w:cs="仿宋"/>
          <w:kern w:val="0"/>
          <w:szCs w:val="32"/>
        </w:rPr>
        <w:t>12万元</w:t>
      </w:r>
      <w:r>
        <w:rPr>
          <w:rFonts w:hint="eastAsia" w:hAnsi="Calibri" w:cs="仿宋"/>
          <w:kern w:val="0"/>
          <w:szCs w:val="32"/>
          <w:lang w:val="zh-CN"/>
        </w:rPr>
        <w:t>。</w:t>
      </w:r>
      <w:r>
        <w:rPr>
          <w:rFonts w:hint="eastAsia" w:ascii="方正公文仿宋" w:hAnsi="方正公文仿宋" w:eastAsia="方正公文仿宋" w:cs="方正公文仿宋"/>
        </w:rPr>
        <w:t>旨在</w:t>
      </w:r>
      <w:r>
        <w:rPr>
          <w:rFonts w:hint="eastAsia" w:ascii="方正公文仿宋" w:hAnsi="方正公文仿宋" w:eastAsia="方正公文仿宋" w:cs="方正公文仿宋"/>
          <w:sz w:val="31"/>
          <w:szCs w:val="31"/>
          <w:shd w:val="clear" w:color="auto" w:fill="FFFFFF"/>
        </w:rPr>
        <w:t>全面贯彻落实习近平总书记关于“对科学兴趣的引导和培</w:t>
      </w:r>
      <w:r>
        <w:rPr>
          <w:rFonts w:hint="eastAsia" w:ascii="方正公文仿宋" w:hAnsi="方正公文仿宋" w:eastAsia="方正公文仿宋" w:cs="方正公文仿宋"/>
          <w:color w:val="000000"/>
          <w:sz w:val="31"/>
          <w:szCs w:val="31"/>
          <w:shd w:val="clear" w:color="auto" w:fill="FFFFFF"/>
        </w:rPr>
        <w:t>养要从娃娃抓起”的指示精神，引导学生在实地科学实践中探究科学知识、锻炼科技技能，树立科学思想，培养造就具有科学潜质和创新精神的优秀青少年，丰富孩子的暑假生活，助力实施“双减”行动。</w:t>
      </w:r>
    </w:p>
    <w:p>
      <w:pPr>
        <w:widowControl/>
        <w:numPr>
          <w:ilvl w:val="0"/>
          <w:numId w:val="10"/>
        </w:numPr>
        <w:adjustRightInd w:val="0"/>
        <w:snapToGrid w:val="0"/>
        <w:spacing w:line="578" w:lineRule="exact"/>
        <w:ind w:firstLine="640" w:firstLineChars="200"/>
        <w:contextualSpacing/>
        <w:jc w:val="left"/>
        <w:rPr>
          <w:rFonts w:ascii="仿宋_GB2312" w:hAnsi="仿宋_GB2312" w:eastAsia="仿宋_GB2312" w:cs="仿宋_GB2312"/>
          <w:color w:val="FF0000"/>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资金</w:t>
      </w:r>
      <w:r>
        <w:rPr>
          <w:rFonts w:hint="eastAsia" w:ascii="仿宋_GB2312" w:hAnsi="仿宋_GB2312" w:eastAsia="仿宋_GB2312" w:cs="仿宋_GB2312"/>
          <w:kern w:val="0"/>
          <w:sz w:val="32"/>
          <w:szCs w:val="32"/>
          <w:shd w:val="clear" w:color="auto" w:fill="FFFFFF"/>
        </w:rPr>
        <w:t>或项目</w:t>
      </w:r>
      <w:r>
        <w:rPr>
          <w:rFonts w:hint="eastAsia" w:ascii="仿宋_GB2312" w:hAnsi="仿宋_GB2312" w:eastAsia="仿宋_GB2312" w:cs="仿宋_GB2312"/>
          <w:kern w:val="0"/>
          <w:sz w:val="32"/>
          <w:szCs w:val="32"/>
          <w:shd w:val="clear" w:color="auto" w:fill="FFFFFF"/>
          <w:lang w:val="zh-CN"/>
        </w:rPr>
        <w:t>管理办法制定情况，资金支持具体项目的条件、范围与支持方式概况。</w:t>
      </w:r>
    </w:p>
    <w:p>
      <w:pPr>
        <w:pStyle w:val="22"/>
        <w:ind w:firstLine="640" w:firstLineChars="200"/>
        <w:rPr>
          <w:lang w:val="zh-CN"/>
        </w:rPr>
      </w:pPr>
      <w:r>
        <w:rPr>
          <w:rFonts w:hint="eastAsia" w:ascii="仿宋" w:hAnsi="仿宋" w:eastAsia="仿宋" w:cs="仿宋"/>
          <w:kern w:val="0"/>
          <w:shd w:val="clear" w:color="auto" w:fill="FFFFFF"/>
          <w:lang w:val="zh-CN"/>
        </w:rPr>
        <w:t>项目依据</w:t>
      </w:r>
      <w:r>
        <w:rPr>
          <w:rFonts w:hint="eastAsia" w:ascii="仿宋" w:hAnsi="仿宋" w:eastAsia="仿宋" w:cs="仿宋"/>
          <w:kern w:val="0"/>
          <w:shd w:val="clear" w:color="auto" w:fill="FFFFFF"/>
        </w:rPr>
        <w:t>《四川省科普专项资金管理办法》（川财教［2020］83号），《凉山州科技计划项目专项资金管理办法》（凉财规［2020］2号），以及各级财政局各项资金管理规定，并在遵循以上制度原则的情况下制定有单位《财务管理制度》、《内部控制管理制度》等管理制度，对专项资金进行管理。</w:t>
      </w:r>
    </w:p>
    <w:p>
      <w:pPr>
        <w:widowControl/>
        <w:numPr>
          <w:ilvl w:val="0"/>
          <w:numId w:val="10"/>
        </w:numPr>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资金分配的原则及考虑因素。</w:t>
      </w:r>
    </w:p>
    <w:p>
      <w:pPr>
        <w:pStyle w:val="22"/>
        <w:ind w:firstLine="640" w:firstLineChars="200"/>
        <w:rPr>
          <w:lang w:val="zh-CN"/>
        </w:rPr>
      </w:pPr>
      <w:r>
        <w:rPr>
          <w:rFonts w:hint="eastAsia" w:hAnsi="宋体"/>
        </w:rPr>
        <w:t>州科协党组对2022年州级科普项目资金进行分配的原则，在紧扣省科协“天府科技云服务”重点项目工作的同时，结合州委州政府工作规划要点，依据省科协相关考核办法和州委州政府安排的重点工作任务，结合项目组的年度工作职责，认真听取项目组提出的申报意见或建议，根据申报情况据实据效评定，由州科协党组全盘考虑、综合评估、集体研究决定。</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1．项目主要内容。</w:t>
      </w:r>
    </w:p>
    <w:p>
      <w:pPr>
        <w:adjustRightInd w:val="0"/>
        <w:snapToGrid w:val="0"/>
        <w:spacing w:line="560" w:lineRule="exact"/>
        <w:ind w:firstLine="720"/>
        <w:rPr>
          <w:rFonts w:ascii="方正公文仿宋" w:hAnsi="方正公文仿宋" w:eastAsia="方正公文仿宋" w:cs="方正公文仿宋"/>
          <w:sz w:val="32"/>
          <w:szCs w:val="20"/>
          <w:lang w:val="zh-CN"/>
        </w:rPr>
      </w:pPr>
      <w:r>
        <w:rPr>
          <w:rFonts w:hint="eastAsia" w:ascii="方正公文仿宋" w:hAnsi="方正公文仿宋" w:eastAsia="方正公文仿宋" w:cs="方正公文仿宋"/>
          <w:sz w:val="32"/>
          <w:szCs w:val="20"/>
          <w:lang w:val="zh-CN"/>
        </w:rPr>
        <w:t>凉山州科协青少中心计划从第37届凉山州科创大赛的获奖选手中，挑选出3</w:t>
      </w:r>
      <w:r>
        <w:rPr>
          <w:rFonts w:hint="eastAsia" w:ascii="方正公文仿宋" w:hAnsi="方正公文仿宋" w:eastAsia="方正公文仿宋" w:cs="方正公文仿宋"/>
          <w:sz w:val="32"/>
          <w:szCs w:val="20"/>
        </w:rPr>
        <w:t>0</w:t>
      </w:r>
      <w:r>
        <w:rPr>
          <w:rFonts w:hint="eastAsia" w:ascii="方正公文仿宋" w:hAnsi="方正公文仿宋" w:eastAsia="方正公文仿宋" w:cs="方正公文仿宋"/>
          <w:sz w:val="32"/>
          <w:szCs w:val="20"/>
          <w:lang w:val="zh-CN"/>
        </w:rPr>
        <w:t>名左右优秀选手，赴成都开展科学研学活动。通过参加活动，有力激发了青少年的科学兴趣、锻炼了实践能力，树立了科学理想，提升青少年科学素质。同时，丰富孩子的暑假生活，助力实施“双减”行动。参加活动的小学生们持续保持对科学的热爱，初高中学生树立了大学进一步学习科技类学科的远大理想，为青少年的成长成才搭建更好的平台。</w:t>
      </w:r>
    </w:p>
    <w:p>
      <w:pPr>
        <w:numPr>
          <w:ilvl w:val="0"/>
          <w:numId w:val="11"/>
        </w:numPr>
        <w:adjustRightInd w:val="0"/>
        <w:snapToGrid w:val="0"/>
        <w:spacing w:line="560" w:lineRule="exact"/>
        <w:ind w:firstLine="720"/>
        <w:rPr>
          <w:rFonts w:ascii="方正公文仿宋" w:hAnsi="方正公文仿宋" w:eastAsia="方正公文仿宋" w:cs="方正公文仿宋"/>
          <w:sz w:val="32"/>
          <w:szCs w:val="20"/>
        </w:rPr>
      </w:pPr>
      <w:r>
        <w:rPr>
          <w:rFonts w:hint="eastAsia" w:ascii="方正公文仿宋" w:hAnsi="方正公文仿宋" w:eastAsia="方正公文仿宋" w:cs="方正公文仿宋"/>
          <w:sz w:val="32"/>
          <w:szCs w:val="20"/>
          <w:lang w:val="zh-CN"/>
        </w:rPr>
        <w:t>项目应实现的具体绩效目标</w:t>
      </w:r>
      <w:r>
        <w:rPr>
          <w:rFonts w:hint="eastAsia" w:ascii="方正公文仿宋" w:hAnsi="方正公文仿宋" w:eastAsia="方正公文仿宋" w:cs="方正公文仿宋"/>
          <w:sz w:val="32"/>
          <w:szCs w:val="20"/>
        </w:rPr>
        <w:t>。</w:t>
      </w:r>
    </w:p>
    <w:p>
      <w:pPr>
        <w:adjustRightInd w:val="0"/>
        <w:snapToGrid w:val="0"/>
        <w:spacing w:line="560" w:lineRule="exact"/>
        <w:ind w:firstLine="640" w:firstLineChars="200"/>
        <w:rPr>
          <w:rFonts w:ascii="方正公文仿宋" w:hAnsi="方正公文仿宋" w:eastAsia="方正公文仿宋" w:cs="方正公文仿宋"/>
          <w:sz w:val="32"/>
          <w:szCs w:val="20"/>
        </w:rPr>
      </w:pPr>
      <w:r>
        <w:rPr>
          <w:rFonts w:hint="eastAsia" w:ascii="方正公文仿宋" w:hAnsi="方正公文仿宋" w:eastAsia="方正公文仿宋" w:cs="方正公文仿宋"/>
          <w:sz w:val="32"/>
          <w:szCs w:val="20"/>
          <w:lang w:val="zh-CN"/>
        </w:rPr>
        <w:t>实施“英才少年重点培养激励计划”，计划组织30名左右优秀青少年科学爱好者（第37届凉山州青少年科技创新大赛一等奖获得者）参加科学研学活动，开阔青少年的科学视野，培养科学思维和实践能力，对他们的科学兴趣、科学理想进行深度的引导，培养科技创新后备人才。根据参与对象群体特点，项目于年度暑假</w:t>
      </w:r>
      <w:r>
        <w:rPr>
          <w:rFonts w:hint="eastAsia" w:ascii="方正公文仿宋" w:hAnsi="方正公文仿宋" w:eastAsia="方正公文仿宋" w:cs="方正公文仿宋"/>
          <w:sz w:val="32"/>
          <w:szCs w:val="20"/>
        </w:rPr>
        <w:t>8月</w:t>
      </w:r>
      <w:r>
        <w:rPr>
          <w:rFonts w:hint="eastAsia" w:ascii="方正公文仿宋" w:hAnsi="方正公文仿宋" w:eastAsia="方正公文仿宋" w:cs="方正公文仿宋"/>
          <w:sz w:val="32"/>
          <w:szCs w:val="20"/>
          <w:lang w:val="zh-CN"/>
        </w:rPr>
        <w:t>实施，参加研学学生共</w:t>
      </w:r>
      <w:r>
        <w:rPr>
          <w:rFonts w:hint="eastAsia" w:ascii="方正公文仿宋" w:hAnsi="方正公文仿宋" w:eastAsia="方正公文仿宋" w:cs="方正公文仿宋"/>
          <w:sz w:val="32"/>
          <w:szCs w:val="20"/>
        </w:rPr>
        <w:t>33人，</w:t>
      </w:r>
      <w:r>
        <w:rPr>
          <w:rFonts w:hint="eastAsia" w:ascii="方正公文仿宋" w:hAnsi="方正公文仿宋" w:eastAsia="方正公文仿宋" w:cs="方正公文仿宋"/>
          <w:sz w:val="32"/>
          <w:szCs w:val="20"/>
          <w:lang w:val="zh-CN"/>
        </w:rPr>
        <w:t>每人</w:t>
      </w:r>
      <w:r>
        <w:rPr>
          <w:rFonts w:hint="eastAsia" w:ascii="方正公文仿宋" w:hAnsi="方正公文仿宋" w:eastAsia="方正公文仿宋" w:cs="方正公文仿宋"/>
          <w:sz w:val="32"/>
          <w:szCs w:val="20"/>
        </w:rPr>
        <w:t>0.</w:t>
      </w:r>
      <w:r>
        <w:rPr>
          <w:rFonts w:hint="eastAsia" w:ascii="方正公文仿宋" w:hAnsi="方正公文仿宋" w:eastAsia="方正公文仿宋" w:cs="方正公文仿宋"/>
          <w:sz w:val="32"/>
          <w:szCs w:val="20"/>
          <w:lang w:val="zh-CN"/>
        </w:rPr>
        <w:t>42万元，含专家费、场地费、实验设备使用费、材料费、食宿费、交通费、保险费等，计</w:t>
      </w:r>
      <w:r>
        <w:rPr>
          <w:rFonts w:hint="eastAsia" w:ascii="方正公文仿宋" w:hAnsi="方正公文仿宋" w:eastAsia="方正公文仿宋" w:cs="方正公文仿宋"/>
          <w:sz w:val="32"/>
          <w:szCs w:val="20"/>
        </w:rPr>
        <w:t>13.86万元</w:t>
      </w:r>
      <w:r>
        <w:rPr>
          <w:rFonts w:hint="eastAsia" w:ascii="方正公文仿宋" w:hAnsi="方正公文仿宋" w:eastAsia="方正公文仿宋" w:cs="方正公文仿宋"/>
          <w:sz w:val="32"/>
          <w:szCs w:val="20"/>
          <w:lang w:val="zh-CN"/>
        </w:rPr>
        <w:t>；州科协派出工作人员</w:t>
      </w:r>
      <w:r>
        <w:rPr>
          <w:rFonts w:hint="eastAsia" w:ascii="方正公文仿宋" w:hAnsi="方正公文仿宋" w:eastAsia="方正公文仿宋" w:cs="方正公文仿宋"/>
          <w:sz w:val="32"/>
          <w:szCs w:val="20"/>
        </w:rPr>
        <w:t>2名，全程跟踪参与研学活动，支付交通住宿差旅费等0.3688万元。合计支出14.2288万元。其中本次预算支出12万元，超出本项目预算部分在“青少年科技创新教育活动”预算项目中调剂补充了2.2288万元。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分析评价申报内容与实际相符，申报目标合理可行。</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20"/>
          <w:lang w:val="zh-CN"/>
        </w:rPr>
      </w:pPr>
      <w:r>
        <w:rPr>
          <w:rFonts w:hint="eastAsia" w:ascii="方正公文仿宋" w:hAnsi="方正公文仿宋" w:eastAsia="方正公文仿宋" w:cs="方正公文仿宋"/>
          <w:sz w:val="32"/>
          <w:szCs w:val="20"/>
        </w:rPr>
        <w:t>2022年青少年科学研学项目，旨在</w:t>
      </w:r>
      <w:r>
        <w:rPr>
          <w:rFonts w:hint="eastAsia" w:ascii="方正公文仿宋" w:hAnsi="方正公文仿宋" w:eastAsia="方正公文仿宋" w:cs="方正公文仿宋"/>
          <w:sz w:val="32"/>
          <w:szCs w:val="20"/>
          <w:lang w:val="zh-CN"/>
        </w:rPr>
        <w:t>全面贯彻落实习近平总书记关于“对科学兴趣的引导和培养要从娃娃抓起”的指示精神，引导学生在实地科学实践中探究科学知识、锻炼科技技能，树立科学思想，培养造就具有科学潜质和创新精神的优秀青少年，丰富孩子的暑假生活，助力实施“双减”行动。项目契合中央大政方针政策、符合省委省政府州委州政府既定目标，资金能够得到财政的大力支持，项目深受孩子和家长们的喜爱，申报内容与实际相符，申报目标合理可行。</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20"/>
          <w:lang w:val="zh-CN"/>
        </w:rPr>
      </w:pPr>
      <w:r>
        <w:rPr>
          <w:rFonts w:hint="eastAsia" w:ascii="方正公文仿宋" w:hAnsi="方正公文仿宋" w:eastAsia="方正公文仿宋" w:cs="方正公文仿宋"/>
          <w:sz w:val="32"/>
          <w:szCs w:val="20"/>
          <w:lang w:val="zh-CN"/>
        </w:rPr>
        <w:t>（三）项目自评步骤及方法。</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20"/>
          <w:lang w:val="zh-CN"/>
        </w:rPr>
      </w:pPr>
      <w:r>
        <w:rPr>
          <w:rFonts w:hint="eastAsia" w:ascii="方正公文仿宋" w:hAnsi="方正公文仿宋" w:eastAsia="方正公文仿宋" w:cs="方正公文仿宋"/>
          <w:sz w:val="32"/>
          <w:szCs w:val="20"/>
          <w:lang w:val="zh-CN"/>
        </w:rPr>
        <w:t>说明项目绩效自评采用的组织实施步骤及方法。</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20"/>
        </w:rPr>
      </w:pPr>
      <w:r>
        <w:rPr>
          <w:rFonts w:hint="eastAsia" w:ascii="方正公文仿宋" w:hAnsi="方正公文仿宋" w:eastAsia="方正公文仿宋" w:cs="方正公文仿宋"/>
          <w:sz w:val="32"/>
          <w:szCs w:val="20"/>
        </w:rPr>
        <w:t>州科协是项目组织、实施和监管的主管单位，州科协党组首先要求项目承担部门就项目的立项、实施情况、完成结果等内容进行梳理，并在党组会上进行汇报，对照“项目支出绩效目标自评表”，按照其内容就项目决策、项目实施、完成结果、政策效果、数量质量、成本效益、满意度等指标，结合项目内容特点逐项进行评价。从而体现“谁用钱、谁自评”“用钱必问效、无效必问责”的财政资金使用原则，做到紧扣项目任务组织实施完成年度项目工作，从责、权、利多个方面较全面、客观、公开、公正的进行自我评价，确保州级科普专项资金使用安全、透明、高速、效益化。</w:t>
      </w:r>
    </w:p>
    <w:p>
      <w:pPr>
        <w:adjustRightInd w:val="0"/>
        <w:snapToGrid w:val="0"/>
        <w:spacing w:line="578"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说明项目资金申报、批复及预算调整等程序的相关情况。</w:t>
      </w:r>
    </w:p>
    <w:p>
      <w:pPr>
        <w:pStyle w:val="22"/>
        <w:ind w:firstLine="640" w:firstLineChars="200"/>
      </w:pPr>
      <w:r>
        <w:rPr>
          <w:rFonts w:hint="eastAsia" w:hAnsi="宋体"/>
        </w:rPr>
        <w:t>州科协党组依据</w:t>
      </w:r>
      <w:r>
        <w:rPr>
          <w:rFonts w:hint="eastAsia" w:hAnsi="Calibri" w:cs="仿宋"/>
          <w:kern w:val="0"/>
          <w:szCs w:val="32"/>
        </w:rPr>
        <w:t>青少年科技活动中心</w:t>
      </w:r>
      <w:r>
        <w:rPr>
          <w:rFonts w:hint="eastAsia" w:hAnsi="宋体"/>
        </w:rPr>
        <w:t>工作职责，结合项目组的年度</w:t>
      </w:r>
      <w:r>
        <w:rPr>
          <w:rFonts w:hint="eastAsia" w:hAnsi="Calibri" w:cs="仿宋"/>
          <w:kern w:val="0"/>
          <w:szCs w:val="32"/>
        </w:rPr>
        <w:t>工作计划，</w:t>
      </w:r>
      <w:r>
        <w:rPr>
          <w:rFonts w:hint="eastAsia" w:hAnsi="宋体"/>
        </w:rPr>
        <w:t>认真听取项目组提出的申报意见或建议，根据申报情况据实据效评定，由州科协党组全盘考虑、综合评估、集体研究决定。年度以凉科协（2022）4号“凉山州科学技术协会关于2022年度州本级科普经费预算安排的通知”以及</w:t>
      </w:r>
      <w:r>
        <w:rPr>
          <w:rFonts w:hint="eastAsia" w:hAnsi="仿宋_GB2312" w:cs="仿宋_GB2312"/>
          <w:szCs w:val="32"/>
        </w:rPr>
        <w:t>州财政局（凉财预[2022]1号）《关于批复州级2022年部门预算的通知》予与了批复。</w:t>
      </w:r>
    </w:p>
    <w:p>
      <w:pPr>
        <w:adjustRightInd w:val="0"/>
        <w:snapToGrid w:val="0"/>
        <w:spacing w:line="578" w:lineRule="exact"/>
        <w:ind w:firstLine="321" w:firstLineChars="10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1．资金计划</w:t>
      </w:r>
    </w:p>
    <w:p>
      <w:pPr>
        <w:adjustRightInd w:val="0"/>
        <w:snapToGrid w:val="0"/>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年初预算时该活动预算财政资金</w:t>
      </w:r>
      <w:r>
        <w:rPr>
          <w:rFonts w:hint="eastAsia" w:ascii="仿宋_GB2312" w:hAnsi="仿宋_GB2312" w:eastAsia="仿宋_GB2312" w:cs="仿宋_GB2312"/>
          <w:sz w:val="32"/>
          <w:szCs w:val="32"/>
        </w:rPr>
        <w:t>12万元，实际到位资金12万元。无单位自筹、银行贷款等其他资金。</w:t>
      </w:r>
    </w:p>
    <w:p>
      <w:pPr>
        <w:adjustRightInd w:val="0"/>
        <w:snapToGrid w:val="0"/>
        <w:spacing w:line="560" w:lineRule="exact"/>
        <w:ind w:left="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资金到位。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州财政及州科协2022年批复下达后，财政资金即按预算足额到位12万元，保障了活动顺利进行。</w:t>
      </w:r>
    </w:p>
    <w:p>
      <w:pPr>
        <w:numPr>
          <w:ilvl w:val="0"/>
          <w:numId w:val="11"/>
        </w:numPr>
        <w:adjustRightInd w:val="0"/>
        <w:snapToGrid w:val="0"/>
        <w:spacing w:line="560"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资金使用。</w:t>
      </w:r>
    </w:p>
    <w:p>
      <w:pPr>
        <w:adjustRightInd w:val="0"/>
        <w:snapToGrid w:val="0"/>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本次研学活动由西昌杰幄艺术培训学校有限责任公司承接，双方签订合作协议，明确研学课程内容和双方权责，由州科协承担研学活动经费。项目实际执行时，参加研学学生共</w:t>
      </w:r>
      <w:r>
        <w:rPr>
          <w:rFonts w:hint="eastAsia" w:ascii="仿宋_GB2312" w:hAnsi="仿宋_GB2312" w:eastAsia="仿宋_GB2312" w:cs="仿宋_GB2312"/>
          <w:kern w:val="0"/>
          <w:sz w:val="32"/>
          <w:szCs w:val="32"/>
          <w:shd w:val="clear" w:color="auto" w:fill="FFFFFF"/>
        </w:rPr>
        <w:t>33人，</w:t>
      </w:r>
      <w:r>
        <w:rPr>
          <w:rFonts w:hint="eastAsia" w:ascii="仿宋_GB2312" w:hAnsi="仿宋_GB2312" w:eastAsia="仿宋_GB2312" w:cs="仿宋_GB2312"/>
          <w:kern w:val="0"/>
          <w:sz w:val="32"/>
          <w:szCs w:val="32"/>
          <w:shd w:val="clear" w:color="auto" w:fill="FFFFFF"/>
          <w:lang w:val="zh-CN"/>
        </w:rPr>
        <w:t>每人</w:t>
      </w:r>
      <w:r>
        <w:rPr>
          <w:rFonts w:hint="eastAsia" w:ascii="仿宋_GB2312" w:hAnsi="仿宋_GB2312"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lang w:val="zh-CN"/>
        </w:rPr>
        <w:t>42万元，含专家费、场地费、实验设备使用费、材料费、食宿费、交通费、保险费等，计</w:t>
      </w:r>
      <w:r>
        <w:rPr>
          <w:rFonts w:hint="eastAsia" w:ascii="仿宋_GB2312" w:hAnsi="仿宋_GB2312" w:eastAsia="仿宋_GB2312" w:cs="仿宋_GB2312"/>
          <w:kern w:val="0"/>
          <w:sz w:val="32"/>
          <w:szCs w:val="32"/>
          <w:shd w:val="clear" w:color="auto" w:fill="FFFFFF"/>
        </w:rPr>
        <w:t>13.86万元</w:t>
      </w:r>
      <w:r>
        <w:rPr>
          <w:rFonts w:hint="eastAsia" w:ascii="仿宋_GB2312" w:hAnsi="仿宋_GB2312" w:eastAsia="仿宋_GB2312" w:cs="仿宋_GB2312"/>
          <w:kern w:val="0"/>
          <w:sz w:val="32"/>
          <w:szCs w:val="32"/>
          <w:shd w:val="clear" w:color="auto" w:fill="FFFFFF"/>
          <w:lang w:val="zh-CN"/>
        </w:rPr>
        <w:t>；州科协派出工作人员</w:t>
      </w:r>
      <w:r>
        <w:rPr>
          <w:rFonts w:hint="eastAsia" w:ascii="仿宋_GB2312" w:hAnsi="仿宋_GB2312" w:eastAsia="仿宋_GB2312" w:cs="仿宋_GB2312"/>
          <w:kern w:val="0"/>
          <w:sz w:val="32"/>
          <w:szCs w:val="32"/>
          <w:shd w:val="clear" w:color="auto" w:fill="FFFFFF"/>
        </w:rPr>
        <w:t>2名，全程跟踪参与研学活动，支付交通住宿差旅费等0.3688万元。合计支出14.2288万元。其中本次预算支出12万元，超出本项目预算部分在“青少年科技创新教育活动”预算项目中调剂补充了2.2288万元。</w:t>
      </w:r>
    </w:p>
    <w:p>
      <w:p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32"/>
          <w:lang w:val="zh-CN"/>
        </w:rPr>
      </w:pPr>
      <w:r>
        <w:rPr>
          <w:rFonts w:hint="eastAsia" w:ascii="方正公文仿宋" w:hAnsi="方正公文仿宋" w:eastAsia="方正公文仿宋" w:cs="方正公文仿宋"/>
          <w:sz w:val="32"/>
          <w:szCs w:val="32"/>
        </w:rPr>
        <w:t>该项目严格执行国家相关财经制度，并配备具有一定专业技术职称的专职会计和出纳，职责职能分明、岗位互不相容，确保项目资金的安全性和高效运转。年初本部门编制科普项目支出预算绩效目标，新增项目按照规定进行绩效评估可行性论证，对项目绩效目标进行细化、量化描述，以确保预算编制的科学、准确、合理、完整。项目经费收支设立专项明细账进行核算，严格区分基本支出和项目支出、不混淆使用，专款专用、不挪用挤占项目资金。</w:t>
      </w:r>
      <w:r>
        <w:rPr>
          <w:rFonts w:hint="eastAsia" w:ascii="方正公文仿宋" w:hAnsi="方正公文仿宋" w:eastAsia="方正公文仿宋" w:cs="方正公文仿宋"/>
          <w:sz w:val="32"/>
          <w:szCs w:val="32"/>
          <w:lang w:val="zh-CN"/>
        </w:rPr>
        <w:t>账务处理及时，会计核算规范，</w:t>
      </w:r>
      <w:r>
        <w:rPr>
          <w:rFonts w:hint="eastAsia" w:ascii="方正公文仿宋" w:hAnsi="方正公文仿宋" w:eastAsia="方正公文仿宋" w:cs="方正公文仿宋"/>
          <w:sz w:val="32"/>
          <w:szCs w:val="32"/>
        </w:rPr>
        <w:t>项目支出核算绩效目标能较清晰反映预算资金的预期产出和效果，整个财务管理制度健全、严谨规范。</w:t>
      </w:r>
    </w:p>
    <w:p>
      <w:pPr>
        <w:adjustRightInd w:val="0"/>
        <w:snapToGrid w:val="0"/>
        <w:spacing w:line="578" w:lineRule="exact"/>
        <w:ind w:firstLine="960" w:firstLineChars="3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rPr>
        <w:t>（一）</w:t>
      </w:r>
      <w:r>
        <w:rPr>
          <w:rFonts w:hint="eastAsia" w:ascii="楷体_GB2312" w:hAnsi="宋体" w:eastAsia="楷体_GB2312"/>
          <w:b/>
          <w:sz w:val="32"/>
          <w:szCs w:val="32"/>
          <w:lang w:val="zh-CN"/>
        </w:rPr>
        <w:t>项目组织架构及实施流程。</w:t>
      </w:r>
    </w:p>
    <w:p>
      <w:pPr>
        <w:widowControl/>
        <w:adjustRightInd w:val="0"/>
        <w:snapToGrid w:val="0"/>
        <w:spacing w:line="578" w:lineRule="exact"/>
        <w:ind w:firstLine="640" w:firstLineChars="200"/>
        <w:contextualSpacing/>
        <w:jc w:val="left"/>
        <w:rPr>
          <w:rFonts w:ascii="方正公文仿宋" w:hAnsi="方正公文仿宋" w:eastAsia="方正公文仿宋" w:cs="方正公文仿宋"/>
          <w:sz w:val="32"/>
          <w:szCs w:val="32"/>
          <w:lang w:val="zh-CN"/>
        </w:rPr>
      </w:pPr>
      <w:r>
        <w:rPr>
          <w:rFonts w:hint="eastAsia" w:ascii="方正公文仿宋" w:hAnsi="方正公文仿宋" w:eastAsia="方正公文仿宋" w:cs="方正公文仿宋"/>
          <w:sz w:val="32"/>
          <w:szCs w:val="32"/>
          <w:lang w:val="zh-CN"/>
        </w:rPr>
        <w:t>项目实施前，认真做好经费预算，制定活动实施方案；与第三方进行反复沟通，明确研学课程内容、方式、双方权责和安全保障等；签订合作协议；精心组织、强化管理，确保活动顺利进行，达到预期效果。</w:t>
      </w:r>
    </w:p>
    <w:p>
      <w:pPr>
        <w:adjustRightInd w:val="0"/>
        <w:snapToGrid w:val="0"/>
        <w:spacing w:line="578"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（二）项目管理情况。</w:t>
      </w:r>
    </w:p>
    <w:p>
      <w:pPr>
        <w:adjustRightInd w:val="0"/>
        <w:snapToGrid w:val="0"/>
        <w:spacing w:line="578" w:lineRule="exact"/>
        <w:ind w:firstLine="640" w:firstLineChars="200"/>
        <w:rPr>
          <w:rFonts w:ascii="仿宋_GB2312" w:hAnsi="仿宋_GB2312" w:eastAsia="仿宋_GB2312" w:cs="仿宋_GB2312"/>
          <w:color w:val="FF0000"/>
          <w:kern w:val="0"/>
          <w:sz w:val="32"/>
          <w:szCs w:val="32"/>
          <w:shd w:val="clear" w:color="auto" w:fill="FFFFFF"/>
          <w:lang w:val="zh-CN"/>
        </w:rPr>
      </w:pPr>
      <w:r>
        <w:rPr>
          <w:rFonts w:hint="eastAsia" w:ascii="方正公文仿宋" w:hAnsi="方正公文仿宋" w:eastAsia="方正公文仿宋" w:cs="方正公文仿宋"/>
          <w:sz w:val="32"/>
          <w:szCs w:val="32"/>
        </w:rPr>
        <w:t>该项目严格执行国家国家相关财经制度和《四川省科普专项资金管理办法》（川财教［2020］83号）、《凉山州科技计划项目专项资金管理办法》（凉财规［2020］2号），以及各级财政局各项资金管理规定，并在遵循以上制度原则的情况下制定有单位《财务管理制度》、《内部控制管理制度》等管理制度，对专项资金进行管理。</w:t>
      </w:r>
      <w:r>
        <w:rPr>
          <w:rFonts w:hint="eastAsia" w:ascii="方正公文仿宋" w:hAnsi="方正公文仿宋" w:eastAsia="方正公文仿宋" w:cs="方正公文仿宋"/>
          <w:sz w:val="32"/>
          <w:szCs w:val="32"/>
          <w:lang w:val="zh-CN"/>
        </w:rPr>
        <w:t>为保障项目顺利完成，经过市场调研比选，委托具有资质的第三方专业机构并签订合作协议，明确双方的权责和安全保障等依法依规进行实施。</w:t>
      </w:r>
    </w:p>
    <w:p>
      <w:pPr>
        <w:adjustRightInd w:val="0"/>
        <w:snapToGrid w:val="0"/>
        <w:spacing w:line="578"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（三）项目监管情况。</w:t>
      </w:r>
    </w:p>
    <w:p>
      <w:pPr>
        <w:adjustRightInd w:val="0"/>
        <w:snapToGrid w:val="0"/>
        <w:spacing w:line="578" w:lineRule="exact"/>
        <w:ind w:firstLine="640" w:firstLineChars="200"/>
        <w:rPr>
          <w:rFonts w:ascii="方正公文仿宋" w:hAnsi="方正公文仿宋" w:eastAsia="方正公文仿宋" w:cs="方正公文仿宋"/>
          <w:sz w:val="32"/>
          <w:szCs w:val="32"/>
          <w:lang w:val="zh-CN"/>
        </w:rPr>
      </w:pPr>
      <w:r>
        <w:rPr>
          <w:rFonts w:hint="eastAsia" w:ascii="方正公文仿宋" w:hAnsi="方正公文仿宋" w:eastAsia="方正公文仿宋" w:cs="方正公文仿宋"/>
          <w:sz w:val="32"/>
          <w:szCs w:val="32"/>
        </w:rPr>
        <w:t>州科协是项目组织、实施和监管的主管单位。科协履行职责，</w:t>
      </w:r>
      <w:r>
        <w:rPr>
          <w:rFonts w:hint="eastAsia" w:ascii="方正公文仿宋" w:hAnsi="方正公文仿宋" w:eastAsia="方正公文仿宋" w:cs="方正公文仿宋"/>
          <w:sz w:val="32"/>
          <w:szCs w:val="32"/>
          <w:lang w:val="zh-CN"/>
        </w:rPr>
        <w:t>依据</w:t>
      </w:r>
      <w:r>
        <w:rPr>
          <w:rFonts w:hint="eastAsia" w:ascii="方正公文仿宋" w:hAnsi="方正公文仿宋" w:eastAsia="方正公文仿宋" w:cs="方正公文仿宋"/>
          <w:sz w:val="32"/>
          <w:szCs w:val="32"/>
        </w:rPr>
        <w:t>《四川省科普专项资金管理办法》（川财教［2020］83号），《凉山州科技计划项目专项资金管理办法》（凉财规［2020］2号），以及本部门制定的管理制度等进行管理。州科协党组严管严控各项目资金，明确各项目组责任，要求在做好调研、检查等基础工作的同时，加强项目推进管理、跟进支付进度、减少存量资金的发生。要求项目组及时与财务部门联系沟通，掌握资金支付进度，及时向党组汇报项目实施进展情况，以便党组了解项目进展情况、资金的走向，及时制定对策，校正工作，使项目尽量不偏离年初计划，完成各级部门年度各项目标任务。</w:t>
      </w:r>
      <w:r>
        <w:rPr>
          <w:rFonts w:hint="eastAsia" w:ascii="方正公文仿宋" w:hAnsi="方正公文仿宋" w:eastAsia="方正公文仿宋" w:cs="方正公文仿宋"/>
          <w:sz w:val="32"/>
          <w:szCs w:val="32"/>
          <w:lang w:val="zh-CN"/>
        </w:rPr>
        <w:t>项目需签订合作协议的，要做好市场调查进行比选，并向州科协党组汇报。程序严谨、公开透明，保证项目资金的支用合规合法。</w:t>
      </w:r>
    </w:p>
    <w:p>
      <w:pPr>
        <w:adjustRightInd w:val="0"/>
        <w:snapToGrid w:val="0"/>
        <w:spacing w:line="578" w:lineRule="exact"/>
        <w:ind w:firstLine="640" w:firstLineChars="20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8月18日至22日，凉山州科协青少中心从第37届凉山州科创大赛的获奖选手中，挑选了33名优秀选手，赴成都开展以“探索科技，点亮梦想”为主题的科学研学活动。在为期一周的研学活动中，先后组织学生们到川大、西南交大、中科院成都分院、国家信息中心大数据创新创业基地等重点高校和科研院所，对数学、信息技术、航空等知识进行了探究式学习，到三星堆、川菜博物馆、同治龙 窑等基地，了解悠久璀璨的中华文明，探究传统技艺与现代科技的创新融合。该活动对开阔青少年科学视野、激发科学兴趣、树立科学理想以及培养创新后备人才等方面起到了积极有效的促进作用，受到学生及学校、家长的广泛赞誉。</w:t>
      </w:r>
    </w:p>
    <w:p>
      <w:pPr>
        <w:pStyle w:val="22"/>
        <w:rPr>
          <w:lang w:val="zh-CN"/>
        </w:rPr>
      </w:pP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widowControl/>
        <w:adjustRightInd w:val="0"/>
        <w:snapToGrid w:val="0"/>
        <w:spacing w:line="578"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通过参加活动，有力激发了青少年的科学兴趣、锻炼了实践能力，树立了科学理想，提升青少年科学素质。同时，丰富孩子的暑假生活，助力实施“双减”行动。参加活动的小学生们持续保持对科学的热爱，初高中学生树立了大学进一步学习科技类学科的远大理想，满意度达</w:t>
      </w:r>
      <w:r>
        <w:rPr>
          <w:rFonts w:hint="eastAsia" w:ascii="仿宋_GB2312" w:hAnsi="仿宋_GB2312" w:eastAsia="仿宋_GB2312" w:cs="仿宋_GB2312"/>
          <w:kern w:val="0"/>
          <w:sz w:val="32"/>
          <w:szCs w:val="32"/>
          <w:shd w:val="clear" w:color="auto" w:fill="FFFFFF"/>
        </w:rPr>
        <w:t>100%，</w:t>
      </w:r>
      <w:r>
        <w:rPr>
          <w:rFonts w:hint="eastAsia" w:ascii="仿宋_GB2312" w:hAnsi="仿宋_GB2312" w:eastAsia="仿宋_GB2312" w:cs="仿宋_GB2312"/>
          <w:kern w:val="0"/>
          <w:sz w:val="32"/>
          <w:szCs w:val="32"/>
          <w:shd w:val="clear" w:color="auto" w:fill="FFFFFF"/>
          <w:lang w:val="zh-CN"/>
        </w:rPr>
        <w:t>相关学校和家长强烈建议将研学活动持续举办下去，为青少年的成长成才搭建更好的平台。</w:t>
      </w:r>
    </w:p>
    <w:p>
      <w:pPr>
        <w:adjustRightInd w:val="0"/>
        <w:snapToGrid w:val="0"/>
        <w:spacing w:line="578"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此次项目针对青少年学生群体，意在激发青少年的科学兴趣、锻炼实践能力，树立科学理想，提升青少年科学素质。同时，丰富孩子的暑假生活，助力实施“双减”行动。就项目的立项政策依据、项目实施管理办法、完成结果所产生的社会效益、效果指标、服务对象满意度等进行了以上综述，并结合项目支出绩效评价指标体系对项目进行评价，总体执行情况良好，但因经费有限，只能组织一等奖的选手参加活动，受益面较窄，由于参加活动的学生有小学生、有初高中学生，年龄层次和知识结构相差太大，部分研学课程难以满足所有学生的需求。综上所述，自评扣分</w:t>
      </w:r>
      <w:r>
        <w:rPr>
          <w:rFonts w:hint="eastAsia" w:ascii="仿宋_GB2312" w:hAnsi="仿宋_GB2312" w:eastAsia="仿宋_GB2312" w:cs="仿宋_GB2312"/>
          <w:sz w:val="32"/>
          <w:szCs w:val="32"/>
        </w:rPr>
        <w:t>3分、</w:t>
      </w:r>
      <w:r>
        <w:rPr>
          <w:rFonts w:hint="eastAsia" w:ascii="仿宋_GB2312" w:hAnsi="仿宋_GB2312" w:eastAsia="仿宋_GB2312" w:cs="仿宋_GB2312"/>
          <w:sz w:val="32"/>
          <w:szCs w:val="32"/>
          <w:lang w:val="zh-CN"/>
        </w:rPr>
        <w:t>得分</w:t>
      </w:r>
      <w:r>
        <w:rPr>
          <w:rFonts w:hint="eastAsia" w:ascii="仿宋_GB2312" w:hAnsi="仿宋_GB2312" w:cs="仿宋_GB2312"/>
          <w:sz w:val="32"/>
          <w:szCs w:val="32"/>
        </w:rPr>
        <w:t>97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zh-CN"/>
        </w:rPr>
        <w:t>。</w:t>
      </w:r>
    </w:p>
    <w:p>
      <w:p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一是由于经费有限，只能组织一等奖的选手参加活动，受益面较窄。二是由于参加活动的学生有小学生、有初高中学生，年龄层次和知识能力相差太大，部分研学课程难以满足所有学生的需求。</w:t>
      </w:r>
    </w:p>
    <w:p>
      <w:pPr>
        <w:adjustRightInd w:val="0"/>
        <w:snapToGrid w:val="0"/>
        <w:spacing w:line="578"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青少年科学兴趣的培养和科学素质的提高，是实施科技强国的基础性工程，建议合理增加科普经费，用于开展青少年科技创新及科学普及活动。以后再开展此类活动，应尽量分学龄段，同时对研学课程设置进行更加合理的优化。</w:t>
      </w:r>
    </w:p>
    <w:p>
      <w:pPr>
        <w:spacing w:line="560" w:lineRule="exact"/>
        <w:ind w:firstLine="640" w:firstLineChars="200"/>
        <w:rPr>
          <w:rFonts w:ascii="仿宋_GB2312" w:hAnsi="仿宋_GB2312" w:eastAsia="仿宋_GB2312" w:cs="仿宋_GB2312"/>
          <w:sz w:val="32"/>
          <w:szCs w:val="32"/>
          <w:lang w:val="zh-CN"/>
        </w:rPr>
      </w:pPr>
    </w:p>
    <w:p>
      <w:pPr>
        <w:spacing w:line="580" w:lineRule="exact"/>
        <w:ind w:firstLine="1920" w:firstLineChars="600"/>
        <w:rPr>
          <w:rFonts w:ascii="仿宋_GB2312" w:hAnsi="仿宋_GB2312" w:eastAsia="仿宋_GB2312" w:cs="仿宋_GB2312"/>
          <w:sz w:val="32"/>
          <w:szCs w:val="32"/>
          <w:lang w:val="zh-CN"/>
        </w:rPr>
      </w:pPr>
    </w:p>
    <w:p>
      <w:pPr>
        <w:spacing w:line="580" w:lineRule="exact"/>
        <w:ind w:firstLine="4480" w:firstLineChars="1400"/>
        <w:rPr>
          <w:rFonts w:ascii="仿宋_GB2312" w:hAnsi="仿宋_GB2312" w:eastAsia="仿宋_GB2312" w:cs="仿宋_GB2312"/>
          <w:sz w:val="32"/>
          <w:szCs w:val="32"/>
          <w:lang w:val="zh-CN"/>
        </w:rPr>
      </w:pPr>
    </w:p>
    <w:p>
      <w:pPr>
        <w:spacing w:line="580" w:lineRule="exact"/>
        <w:ind w:firstLine="4480" w:firstLineChars="14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凉山州科学技术协会</w:t>
      </w:r>
    </w:p>
    <w:p>
      <w:pPr>
        <w:spacing w:line="580" w:lineRule="exact"/>
        <w:ind w:firstLine="4160" w:firstLineChars="1300"/>
        <w:rPr>
          <w:rStyle w:val="32"/>
          <w:rFonts w:ascii="黑体" w:hAnsi="黑体" w:eastAsia="黑体"/>
          <w:b w:val="0"/>
        </w:rPr>
      </w:pPr>
      <w:r>
        <w:rPr>
          <w:rFonts w:hint="eastAsia" w:ascii="仿宋_GB2312" w:hAnsi="仿宋_GB2312" w:eastAsia="仿宋_GB2312" w:cs="仿宋_GB2312"/>
          <w:sz w:val="32"/>
          <w:szCs w:val="32"/>
          <w:lang w:val="zh-CN"/>
        </w:rPr>
        <w:t>（青少年科技活动中心）</w:t>
      </w:r>
    </w:p>
    <w:p>
      <w:pPr>
        <w:spacing w:line="600" w:lineRule="exact"/>
        <w:jc w:val="center"/>
        <w:outlineLvl w:val="0"/>
        <w:rPr>
          <w:rFonts w:ascii="黑体" w:hAnsi="黑体" w:eastAsia="黑体"/>
          <w:sz w:val="44"/>
          <w:szCs w:val="44"/>
        </w:rPr>
      </w:pPr>
      <w:r>
        <w:rPr>
          <w:rFonts w:hint="eastAsia" w:ascii="仿宋_GB2312" w:hAnsi="仿宋_GB2312" w:eastAsia="仿宋_GB2312" w:cs="仿宋_GB2312"/>
          <w:sz w:val="32"/>
          <w:szCs w:val="32"/>
        </w:rPr>
        <w:t xml:space="preserve">                     2022年9月22日</w:t>
      </w:r>
      <w:r>
        <w:rPr>
          <w:rFonts w:hint="eastAsia" w:ascii="仿宋_GB2312" w:hAnsi="仿宋_GB2312" w:eastAsia="仿宋_GB2312" w:cs="仿宋_GB2312"/>
          <w:sz w:val="32"/>
          <w:szCs w:val="32"/>
          <w:lang w:val="zh-CN"/>
        </w:rPr>
        <w:br w:type="page"/>
      </w:r>
    </w:p>
    <w:tbl>
      <w:tblPr>
        <w:tblStyle w:val="18"/>
        <w:tblW w:w="10099" w:type="dxa"/>
        <w:tblInd w:w="-295" w:type="dxa"/>
        <w:tblLayout w:type="fixed"/>
        <w:tblCellMar>
          <w:top w:w="0" w:type="dxa"/>
          <w:left w:w="108" w:type="dxa"/>
          <w:bottom w:w="0" w:type="dxa"/>
          <w:right w:w="108" w:type="dxa"/>
        </w:tblCellMar>
      </w:tblPr>
      <w:tblGrid>
        <w:gridCol w:w="675"/>
        <w:gridCol w:w="788"/>
        <w:gridCol w:w="862"/>
        <w:gridCol w:w="1823"/>
        <w:gridCol w:w="640"/>
        <w:gridCol w:w="450"/>
        <w:gridCol w:w="625"/>
        <w:gridCol w:w="750"/>
        <w:gridCol w:w="447"/>
        <w:gridCol w:w="551"/>
        <w:gridCol w:w="2475"/>
        <w:gridCol w:w="13"/>
      </w:tblGrid>
      <w:tr>
        <w:tblPrEx>
          <w:tblCellMar>
            <w:top w:w="0" w:type="dxa"/>
            <w:left w:w="108" w:type="dxa"/>
            <w:bottom w:w="0" w:type="dxa"/>
            <w:right w:w="108" w:type="dxa"/>
          </w:tblCellMar>
        </w:tblPrEx>
        <w:trPr>
          <w:gridAfter w:val="1"/>
          <w:wAfter w:w="13" w:type="dxa"/>
          <w:trHeight w:val="500" w:hRule="atLeast"/>
        </w:trPr>
        <w:tc>
          <w:tcPr>
            <w:tcW w:w="1008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Cs w:val="21"/>
              </w:rPr>
              <w:t>部门预算项目支出绩效自评表（2022年度）</w:t>
            </w:r>
          </w:p>
        </w:tc>
      </w:tr>
      <w:tr>
        <w:tblPrEx>
          <w:tblCellMar>
            <w:top w:w="0" w:type="dxa"/>
            <w:left w:w="108" w:type="dxa"/>
            <w:bottom w:w="0" w:type="dxa"/>
            <w:right w:w="108" w:type="dxa"/>
          </w:tblCellMar>
        </w:tblPrEx>
        <w:trPr>
          <w:gridAfter w:val="1"/>
          <w:wAfter w:w="13" w:type="dxa"/>
          <w:trHeight w:val="360" w:hRule="atLeast"/>
        </w:trPr>
        <w:tc>
          <w:tcPr>
            <w:tcW w:w="146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623"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rPr>
              <w:t>51340022T000000278904-科普宣传活动业务经费</w:t>
            </w:r>
          </w:p>
        </w:tc>
      </w:tr>
      <w:tr>
        <w:tblPrEx>
          <w:tblCellMar>
            <w:top w:w="0" w:type="dxa"/>
            <w:left w:w="108" w:type="dxa"/>
            <w:bottom w:w="0" w:type="dxa"/>
            <w:right w:w="108" w:type="dxa"/>
          </w:tblCellMar>
        </w:tblPrEx>
        <w:trPr>
          <w:gridAfter w:val="1"/>
          <w:wAfter w:w="13" w:type="dxa"/>
          <w:trHeight w:val="635" w:hRule="atLeast"/>
        </w:trPr>
        <w:tc>
          <w:tcPr>
            <w:tcW w:w="14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40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凉山州科学技术协会部门</w:t>
            </w:r>
          </w:p>
        </w:tc>
        <w:tc>
          <w:tcPr>
            <w:tcW w:w="750" w:type="dxa"/>
            <w:tcBorders>
              <w:top w:val="nil"/>
              <w:left w:val="nil"/>
              <w:bottom w:val="nil"/>
              <w:right w:val="nil"/>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凉山州科学技术协会</w:t>
            </w:r>
          </w:p>
        </w:tc>
      </w:tr>
      <w:tr>
        <w:tblPrEx>
          <w:tblCellMar>
            <w:top w:w="0" w:type="dxa"/>
            <w:left w:w="108" w:type="dxa"/>
            <w:bottom w:w="0" w:type="dxa"/>
            <w:right w:w="108" w:type="dxa"/>
          </w:tblCellMar>
        </w:tblPrEx>
        <w:trPr>
          <w:gridAfter w:val="1"/>
          <w:wAfter w:w="13" w:type="dxa"/>
          <w:trHeight w:val="138"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40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2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tblPrEx>
          <w:tblCellMar>
            <w:top w:w="0" w:type="dxa"/>
            <w:left w:w="108" w:type="dxa"/>
            <w:bottom w:w="0" w:type="dxa"/>
            <w:right w:w="108" w:type="dxa"/>
          </w:tblCellMar>
        </w:tblPrEx>
        <w:trPr>
          <w:gridAfter w:val="1"/>
          <w:wAfter w:w="13" w:type="dxa"/>
          <w:trHeight w:val="668"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440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组织30名左右优秀青少年科学爱好者参加科学研学活动，培养他们崇尚科学，勇于创新的爱好和能力，起到辐射引领的作用。</w:t>
            </w:r>
          </w:p>
        </w:tc>
        <w:tc>
          <w:tcPr>
            <w:tcW w:w="422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年度完成了组织30名左右优秀青少年科学爱好者参加科学研学活动，培养他们崇尚科学，勇于创新的爱好和能力，起到辐射引领的作用。</w:t>
            </w:r>
          </w:p>
        </w:tc>
      </w:tr>
      <w:tr>
        <w:tblPrEx>
          <w:tblCellMar>
            <w:top w:w="0" w:type="dxa"/>
            <w:left w:w="108" w:type="dxa"/>
            <w:bottom w:w="0" w:type="dxa"/>
            <w:right w:w="108" w:type="dxa"/>
          </w:tblCellMar>
        </w:tblPrEx>
        <w:trPr>
          <w:gridAfter w:val="1"/>
          <w:wAfter w:w="13" w:type="dxa"/>
          <w:trHeight w:val="1037"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623"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从凉山州第37届科创大赛的获奖选手中，挑选了33名优秀选手，于2022年8月18日至22日赴成都开展以“探索科技，点亮梦想”为主题的科学研学活动。在为期一周的研学活动中，学生们先后到川大、西南交大、中科院成都分院、国家信息中心大数据创新创业基地等重点高校和科研院所，对数学、信息技术、航空等知识进行了探究式学习，到三星堆、川菜博物馆、同治龙 窑等基地，了解悠久璀璨的中华文明，探究传统技艺与现代科技的创新融合。该活动对开阔青少年科学视野、激发科学兴趣、树立科学理想以及培养创新后备人才等方面起到了积极有效的促进作用。</w:t>
            </w:r>
          </w:p>
        </w:tc>
      </w:tr>
      <w:tr>
        <w:tblPrEx>
          <w:tblCellMar>
            <w:top w:w="0" w:type="dxa"/>
            <w:left w:w="108" w:type="dxa"/>
            <w:bottom w:w="0" w:type="dxa"/>
            <w:right w:w="108" w:type="dxa"/>
          </w:tblCellMar>
        </w:tblPrEx>
        <w:trPr>
          <w:gridAfter w:val="1"/>
          <w:wAfter w:w="13" w:type="dxa"/>
          <w:trHeight w:val="500"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tblPrEx>
          <w:tblCellMar>
            <w:top w:w="0" w:type="dxa"/>
            <w:left w:w="108" w:type="dxa"/>
            <w:bottom w:w="0" w:type="dxa"/>
            <w:right w:w="108" w:type="dxa"/>
          </w:tblCellMar>
        </w:tblPrEx>
        <w:trPr>
          <w:gridAfter w:val="1"/>
          <w:wAfter w:w="13" w:type="dxa"/>
          <w:trHeight w:val="32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预算执行率100%，执行情况良好。</w:t>
            </w:r>
          </w:p>
        </w:tc>
      </w:tr>
      <w:tr>
        <w:tblPrEx>
          <w:tblCellMar>
            <w:top w:w="0" w:type="dxa"/>
            <w:left w:w="108" w:type="dxa"/>
            <w:bottom w:w="0" w:type="dxa"/>
            <w:right w:w="108" w:type="dxa"/>
          </w:tblCellMar>
        </w:tblPrEx>
        <w:trPr>
          <w:gridAfter w:val="1"/>
          <w:wAfter w:w="13" w:type="dxa"/>
          <w:trHeight w:val="38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13" w:type="dxa"/>
          <w:trHeight w:val="40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13" w:type="dxa"/>
          <w:trHeight w:val="25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gridAfter w:val="1"/>
          <w:wAfter w:w="13" w:type="dxa"/>
          <w:trHeight w:val="131"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1715" w:type="dxa"/>
            <w:gridSpan w:val="3"/>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微软雅黑" w:hAnsi="微软雅黑" w:eastAsia="微软雅黑" w:cs="微软雅黑"/>
                <w:i/>
                <w:iCs/>
                <w:color w:val="000000"/>
                <w:sz w:val="18"/>
                <w:szCs w:val="18"/>
              </w:rPr>
            </w:pP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85" w:hRule="atLeast"/>
        </w:trPr>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45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名</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33</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452"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组织一批优秀青少年科学爱好者参加科学研学活动</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批</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33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2022年1-12月前</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435"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共计4000元/人*30人=12万元，委托第三方开展产研学服务。</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万元</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12</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339"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效果指标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项目完成率</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98</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无</w:t>
            </w:r>
          </w:p>
        </w:tc>
      </w:tr>
      <w:tr>
        <w:tblPrEx>
          <w:tblCellMar>
            <w:top w:w="0" w:type="dxa"/>
            <w:left w:w="108" w:type="dxa"/>
            <w:bottom w:w="0" w:type="dxa"/>
            <w:right w:w="108" w:type="dxa"/>
          </w:tblCellMar>
        </w:tblPrEx>
        <w:trPr>
          <w:trHeight w:val="800"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宋体" w:hAnsi="宋体" w:cs="宋体"/>
                <w:color w:val="000000"/>
                <w:sz w:val="18"/>
                <w:szCs w:val="18"/>
              </w:rPr>
            </w:pPr>
            <w:r>
              <w:rPr>
                <w:rFonts w:ascii="宋体" w:hAnsi="宋体" w:cs="宋体"/>
                <w:color w:val="000000"/>
                <w:kern w:val="0"/>
                <w:sz w:val="18"/>
                <w:szCs w:val="18"/>
              </w:rPr>
              <w:t>组织30名左右优秀青少年科学爱好者参加科学研学活动，培养他们崇尚科学，勇于创新的爱好和能力，起到辐射带动的作用。</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项</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3</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19</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经费所限受益面较窄，故扣1分。</w:t>
            </w:r>
          </w:p>
        </w:tc>
      </w:tr>
      <w:tr>
        <w:tblPrEx>
          <w:tblCellMar>
            <w:top w:w="0" w:type="dxa"/>
            <w:left w:w="108" w:type="dxa"/>
            <w:bottom w:w="0" w:type="dxa"/>
            <w:right w:w="108" w:type="dxa"/>
          </w:tblCellMar>
        </w:tblPrEx>
        <w:trPr>
          <w:trHeight w:val="642" w:hRule="atLeast"/>
        </w:trPr>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spacing w:line="180" w:lineRule="exact"/>
              <w:jc w:val="center"/>
              <w:rPr>
                <w:rFonts w:ascii="宋体" w:hAnsi="宋体" w:cs="宋体"/>
                <w:color w:val="000000"/>
                <w:sz w:val="18"/>
                <w:szCs w:val="18"/>
              </w:rPr>
            </w:pPr>
          </w:p>
        </w:tc>
        <w:tc>
          <w:tcPr>
            <w:tcW w:w="788"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82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参加活动青少年满意度95%以上</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95</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248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研学课程应分学龄段设置有待优化，故扣2分。</w:t>
            </w:r>
          </w:p>
        </w:tc>
      </w:tr>
      <w:tr>
        <w:tblPrEx>
          <w:tblCellMar>
            <w:top w:w="0" w:type="dxa"/>
            <w:left w:w="108" w:type="dxa"/>
            <w:bottom w:w="0" w:type="dxa"/>
            <w:right w:w="108" w:type="dxa"/>
          </w:tblCellMar>
        </w:tblPrEx>
        <w:trPr>
          <w:gridAfter w:val="1"/>
          <w:wAfter w:w="13" w:type="dxa"/>
          <w:trHeight w:val="286" w:hRule="atLeast"/>
        </w:trPr>
        <w:tc>
          <w:tcPr>
            <w:tcW w:w="5863"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3026" w:type="dxa"/>
            <w:gridSpan w:val="2"/>
            <w:tcBorders>
              <w:top w:val="single" w:color="000000" w:sz="4" w:space="0"/>
              <w:left w:val="single" w:color="000000" w:sz="4" w:space="0"/>
              <w:bottom w:val="single" w:color="000000" w:sz="4" w:space="0"/>
              <w:right w:val="single" w:color="000000" w:sz="4" w:space="0"/>
            </w:tcBorders>
            <w:vAlign w:val="center"/>
          </w:tcPr>
          <w:p>
            <w:pPr>
              <w:spacing w:line="180" w:lineRule="exact"/>
              <w:rPr>
                <w:rFonts w:ascii="宋体" w:hAnsi="宋体" w:cs="宋体"/>
                <w:color w:val="000000"/>
                <w:sz w:val="18"/>
                <w:szCs w:val="18"/>
              </w:rPr>
            </w:pPr>
          </w:p>
        </w:tc>
      </w:tr>
      <w:tr>
        <w:tblPrEx>
          <w:tblCellMar>
            <w:top w:w="0" w:type="dxa"/>
            <w:left w:w="108" w:type="dxa"/>
            <w:bottom w:w="0" w:type="dxa"/>
            <w:right w:w="108" w:type="dxa"/>
          </w:tblCellMar>
        </w:tblPrEx>
        <w:trPr>
          <w:gridAfter w:val="1"/>
          <w:wAfter w:w="13" w:type="dxa"/>
          <w:trHeight w:val="575"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411"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从凉山州第37届科创大赛的获奖选手中，挑选了33名优秀选手，于2022年8月赴成都开展科学研学活动。通过学习学生们了解悠久璀璨的中华文明，探究传统技艺与现代科技的创新融合。该活动对开阔青少年科学视野、激发科学兴趣。从产出、效益、满意度指标等进行了以上打分，预算执行率100%，执行情况良好，自评得分97分。</w:t>
            </w:r>
          </w:p>
        </w:tc>
      </w:tr>
      <w:tr>
        <w:tblPrEx>
          <w:tblCellMar>
            <w:top w:w="0" w:type="dxa"/>
            <w:left w:w="108" w:type="dxa"/>
            <w:bottom w:w="0" w:type="dxa"/>
            <w:right w:w="108" w:type="dxa"/>
          </w:tblCellMar>
        </w:tblPrEx>
        <w:trPr>
          <w:gridAfter w:val="1"/>
          <w:wAfter w:w="13" w:type="dxa"/>
          <w:trHeight w:val="57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411"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一是由于经费有限，只能组织一等奖的选手参加活动，受益面较窄。二是由于参加活动的学生有小学生、有初高中学生，年龄层次和知识能力相差太大，部分研学课程难以满足所有学生的需求。以后再开展此类活动，应尽量分学龄段，同时对研学课程设置进行更加合理的优化。</w:t>
            </w:r>
          </w:p>
        </w:tc>
      </w:tr>
      <w:tr>
        <w:tblPrEx>
          <w:tblCellMar>
            <w:top w:w="0" w:type="dxa"/>
            <w:left w:w="108" w:type="dxa"/>
            <w:bottom w:w="0" w:type="dxa"/>
            <w:right w:w="108" w:type="dxa"/>
          </w:tblCellMar>
        </w:tblPrEx>
        <w:trPr>
          <w:gridAfter w:val="1"/>
          <w:wAfter w:w="13" w:type="dxa"/>
          <w:trHeight w:val="500" w:hRule="atLeast"/>
        </w:trPr>
        <w:tc>
          <w:tcPr>
            <w:tcW w:w="14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8623"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微软雅黑" w:hAnsi="微软雅黑" w:eastAsia="微软雅黑" w:cs="微软雅黑"/>
                <w:i/>
                <w:iCs/>
                <w:color w:val="000000"/>
                <w:sz w:val="18"/>
                <w:szCs w:val="18"/>
              </w:rPr>
            </w:pPr>
            <w:r>
              <w:rPr>
                <w:rFonts w:hint="eastAsia" w:ascii="微软雅黑" w:hAnsi="微软雅黑" w:eastAsia="微软雅黑" w:cs="微软雅黑"/>
                <w:i/>
                <w:iCs/>
                <w:color w:val="000000"/>
                <w:kern w:val="0"/>
                <w:sz w:val="18"/>
                <w:szCs w:val="18"/>
              </w:rPr>
              <w:t>青少年科学兴趣的培养和科学素质的提高，是实施科技强国的基础性工程，建议合理增加科普经费，用于开展青少年科技创新及科学普及活动。</w:t>
            </w:r>
          </w:p>
        </w:tc>
      </w:tr>
      <w:tr>
        <w:tblPrEx>
          <w:tblCellMar>
            <w:top w:w="0" w:type="dxa"/>
            <w:left w:w="108" w:type="dxa"/>
            <w:bottom w:w="0" w:type="dxa"/>
            <w:right w:w="108" w:type="dxa"/>
          </w:tblCellMar>
        </w:tblPrEx>
        <w:trPr>
          <w:gridAfter w:val="1"/>
          <w:wAfter w:w="13" w:type="dxa"/>
          <w:trHeight w:val="286" w:hRule="atLeast"/>
        </w:trPr>
        <w:tc>
          <w:tcPr>
            <w:tcW w:w="478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项目负责人：吴朝兰</w:t>
            </w:r>
          </w:p>
        </w:tc>
        <w:tc>
          <w:tcPr>
            <w:tcW w:w="529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财务负责人：毛正华</w:t>
            </w:r>
          </w:p>
        </w:tc>
      </w:tr>
    </w:tbl>
    <w:p>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46"/>
      <w:bookmarkEnd w:id="48"/>
      <w:bookmarkStart w:id="49" w:name="_Toc15396619"/>
    </w:p>
    <w:p>
      <w:pPr>
        <w:pStyle w:val="3"/>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49"/>
    </w:p>
    <w:p>
      <w:pPr>
        <w:pStyle w:val="3"/>
        <w:rPr>
          <w:rFonts w:ascii="仿宋" w:hAnsi="仿宋" w:eastAsia="仿宋"/>
        </w:rPr>
      </w:pPr>
      <w:bookmarkStart w:id="50" w:name="_Toc15396620"/>
      <w:r>
        <w:rPr>
          <w:rFonts w:hint="eastAsia" w:ascii="仿宋" w:hAnsi="仿宋" w:eastAsia="仿宋"/>
          <w:b w:val="0"/>
        </w:rPr>
        <w:t>二、收</w:t>
      </w:r>
      <w:r>
        <w:rPr>
          <w:rStyle w:val="33"/>
          <w:rFonts w:hint="eastAsia" w:ascii="仿宋" w:hAnsi="仿宋" w:eastAsia="仿宋"/>
          <w:b w:val="0"/>
          <w:bCs w:val="0"/>
        </w:rPr>
        <w:t>入决算表</w:t>
      </w:r>
      <w:bookmarkEnd w:id="50"/>
    </w:p>
    <w:p>
      <w:pPr>
        <w:pStyle w:val="3"/>
        <w:rPr>
          <w:rFonts w:ascii="仿宋" w:hAnsi="仿宋" w:eastAsia="仿宋"/>
        </w:rPr>
      </w:pPr>
      <w:bookmarkStart w:id="51"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51"/>
    </w:p>
    <w:p>
      <w:pPr>
        <w:pStyle w:val="3"/>
        <w:rPr>
          <w:rFonts w:ascii="仿宋" w:hAnsi="仿宋" w:eastAsia="仿宋"/>
          <w:b w:val="0"/>
        </w:rPr>
      </w:pPr>
      <w:bookmarkStart w:id="52"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52"/>
    </w:p>
    <w:p>
      <w:pPr>
        <w:pStyle w:val="3"/>
        <w:rPr>
          <w:rStyle w:val="33"/>
          <w:rFonts w:ascii="仿宋" w:hAnsi="仿宋" w:eastAsia="仿宋"/>
          <w:b w:val="0"/>
          <w:bCs w:val="0"/>
        </w:rPr>
      </w:pPr>
      <w:bookmarkStart w:id="53"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53"/>
      <w:bookmarkStart w:id="54" w:name="_Toc15396624"/>
    </w:p>
    <w:p>
      <w:pPr>
        <w:pStyle w:val="3"/>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54"/>
    </w:p>
    <w:p>
      <w:pPr>
        <w:pStyle w:val="3"/>
        <w:rPr>
          <w:rFonts w:ascii="仿宋" w:hAnsi="仿宋" w:eastAsia="仿宋"/>
        </w:rPr>
      </w:pPr>
      <w:bookmarkStart w:id="55"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55"/>
    </w:p>
    <w:p>
      <w:pPr>
        <w:pStyle w:val="3"/>
        <w:rPr>
          <w:rFonts w:ascii="仿宋" w:hAnsi="仿宋" w:eastAsia="仿宋"/>
        </w:rPr>
      </w:pPr>
      <w:bookmarkStart w:id="56"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56"/>
    </w:p>
    <w:p>
      <w:pPr>
        <w:pStyle w:val="3"/>
        <w:rPr>
          <w:rFonts w:ascii="仿宋" w:hAnsi="仿宋" w:eastAsia="仿宋"/>
        </w:rPr>
      </w:pPr>
      <w:bookmarkStart w:id="57"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57"/>
    </w:p>
    <w:p>
      <w:pPr>
        <w:pStyle w:val="3"/>
        <w:rPr>
          <w:rFonts w:ascii="仿宋" w:hAnsi="仿宋" w:eastAsia="仿宋"/>
        </w:rPr>
      </w:pPr>
      <w:bookmarkStart w:id="58" w:name="_Toc15396628"/>
      <w:r>
        <w:rPr>
          <w:rStyle w:val="33"/>
          <w:rFonts w:hint="eastAsia" w:ascii="仿宋" w:hAnsi="仿宋" w:eastAsia="仿宋"/>
          <w:b w:val="0"/>
          <w:bCs w:val="0"/>
        </w:rPr>
        <w:t>十、</w:t>
      </w:r>
      <w:bookmarkEnd w:id="58"/>
      <w:r>
        <w:rPr>
          <w:rFonts w:hint="eastAsia" w:ascii="仿宋" w:hAnsi="仿宋" w:eastAsia="仿宋"/>
          <w:b w:val="0"/>
        </w:rPr>
        <w:t>政</w:t>
      </w:r>
      <w:r>
        <w:rPr>
          <w:rStyle w:val="33"/>
          <w:rFonts w:hint="eastAsia" w:ascii="仿宋" w:hAnsi="仿宋" w:eastAsia="仿宋"/>
          <w:b w:val="0"/>
          <w:bCs w:val="0"/>
        </w:rPr>
        <w:t>府性基金预算财政拨款收入支出决算表</w:t>
      </w:r>
    </w:p>
    <w:p>
      <w:pPr>
        <w:pStyle w:val="3"/>
        <w:rPr>
          <w:rFonts w:ascii="仿宋" w:hAnsi="仿宋" w:eastAsia="仿宋"/>
        </w:rPr>
      </w:pPr>
      <w:bookmarkStart w:id="59" w:name="_Toc15396629"/>
      <w:r>
        <w:rPr>
          <w:rStyle w:val="33"/>
          <w:rFonts w:hint="eastAsia" w:ascii="仿宋" w:hAnsi="仿宋" w:eastAsia="仿宋"/>
          <w:b w:val="0"/>
          <w:bCs w:val="0"/>
        </w:rPr>
        <w:t>十一、</w:t>
      </w:r>
      <w:bookmarkEnd w:id="59"/>
      <w:r>
        <w:rPr>
          <w:rFonts w:hint="eastAsia" w:ascii="仿宋" w:hAnsi="仿宋" w:eastAsia="仿宋"/>
          <w:b w:val="0"/>
        </w:rPr>
        <w:t>国</w:t>
      </w:r>
      <w:r>
        <w:rPr>
          <w:rStyle w:val="33"/>
          <w:rFonts w:hint="eastAsia" w:ascii="仿宋" w:hAnsi="仿宋" w:eastAsia="仿宋"/>
          <w:b w:val="0"/>
          <w:bCs w:val="0"/>
        </w:rPr>
        <w:t>有资本经营预算财政拨款收入支出决算表</w:t>
      </w:r>
    </w:p>
    <w:p>
      <w:pPr>
        <w:pStyle w:val="3"/>
        <w:rPr>
          <w:rFonts w:ascii="仿宋" w:hAnsi="仿宋" w:eastAsia="仿宋"/>
        </w:rPr>
      </w:pPr>
      <w:bookmarkStart w:id="60" w:name="_Toc15396630"/>
      <w:r>
        <w:rPr>
          <w:rStyle w:val="33"/>
          <w:rFonts w:hint="eastAsia" w:ascii="仿宋" w:hAnsi="仿宋" w:eastAsia="仿宋"/>
          <w:b w:val="0"/>
          <w:bCs w:val="0"/>
        </w:rPr>
        <w:t>十二、</w:t>
      </w:r>
      <w:bookmarkEnd w:id="60"/>
      <w:r>
        <w:rPr>
          <w:rStyle w:val="33"/>
          <w:rFonts w:hint="eastAsia" w:ascii="仿宋" w:hAnsi="仿宋" w:eastAsia="仿宋"/>
          <w:b w:val="0"/>
          <w:bCs w:val="0"/>
        </w:rPr>
        <w:t>国有资本经营预算财政拨款支出决算表</w:t>
      </w:r>
    </w:p>
    <w:p>
      <w:pPr>
        <w:pStyle w:val="3"/>
        <w:rPr>
          <w:rFonts w:eastAsia="仿宋"/>
        </w:rPr>
      </w:pPr>
      <w:bookmarkStart w:id="61" w:name="_Toc15396631"/>
      <w:r>
        <w:rPr>
          <w:rStyle w:val="33"/>
          <w:rFonts w:hint="eastAsia" w:ascii="仿宋" w:hAnsi="仿宋" w:eastAsia="仿宋"/>
          <w:b w:val="0"/>
          <w:bCs w:val="0"/>
        </w:rPr>
        <w:t>十三、</w:t>
      </w:r>
      <w:bookmarkEnd w:id="61"/>
      <w:r>
        <w:rPr>
          <w:rStyle w:val="33"/>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公文仿宋">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公文楷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93</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D68B9"/>
    <w:multiLevelType w:val="singleLevel"/>
    <w:tmpl w:val="C12D68B9"/>
    <w:lvl w:ilvl="0" w:tentative="0">
      <w:start w:val="2"/>
      <w:numFmt w:val="decimal"/>
      <w:suff w:val="nothing"/>
      <w:lvlText w:val="%1．"/>
      <w:lvlJc w:val="left"/>
      <w:rPr>
        <w:rFonts w:hint="default"/>
        <w:color w:val="auto"/>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300CFAB"/>
    <w:multiLevelType w:val="singleLevel"/>
    <w:tmpl w:val="F300CFAB"/>
    <w:lvl w:ilvl="0" w:tentative="0">
      <w:start w:val="3"/>
      <w:numFmt w:val="chineseCounting"/>
      <w:suff w:val="nothing"/>
      <w:lvlText w:val="（%1）"/>
      <w:lvlJc w:val="left"/>
      <w:rPr>
        <w:rFonts w:hint="eastAsia"/>
      </w:rPr>
    </w:lvl>
  </w:abstractNum>
  <w:abstractNum w:abstractNumId="5">
    <w:nsid w:val="F5A79577"/>
    <w:multiLevelType w:val="singleLevel"/>
    <w:tmpl w:val="F5A79577"/>
    <w:lvl w:ilvl="0" w:tentative="0">
      <w:start w:val="2"/>
      <w:numFmt w:val="chineseCounting"/>
      <w:suff w:val="nothing"/>
      <w:lvlText w:val="（%1）"/>
      <w:lvlJc w:val="left"/>
      <w:rPr>
        <w:rFonts w:hint="eastAsia"/>
      </w:rPr>
    </w:lvl>
  </w:abstractNum>
  <w:abstractNum w:abstractNumId="6">
    <w:nsid w:val="F8BE8F8E"/>
    <w:multiLevelType w:val="singleLevel"/>
    <w:tmpl w:val="F8BE8F8E"/>
    <w:lvl w:ilvl="0" w:tentative="0">
      <w:start w:val="2"/>
      <w:numFmt w:val="decimal"/>
      <w:lvlText w:val="%1."/>
      <w:lvlJc w:val="left"/>
      <w:pPr>
        <w:tabs>
          <w:tab w:val="left" w:pos="312"/>
        </w:tabs>
      </w:pPr>
    </w:lvl>
  </w:abstractNum>
  <w:abstractNum w:abstractNumId="7">
    <w:nsid w:val="FA7F9B4C"/>
    <w:multiLevelType w:val="singleLevel"/>
    <w:tmpl w:val="FA7F9B4C"/>
    <w:lvl w:ilvl="0" w:tentative="0">
      <w:start w:val="2"/>
      <w:numFmt w:val="decimal"/>
      <w:suff w:val="nothing"/>
      <w:lvlText w:val="%1．"/>
      <w:lvlJc w:val="left"/>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356502C9"/>
    <w:multiLevelType w:val="singleLevel"/>
    <w:tmpl w:val="356502C9"/>
    <w:lvl w:ilvl="0" w:tentative="0">
      <w:start w:val="2"/>
      <w:numFmt w:val="chineseCounting"/>
      <w:suff w:val="nothing"/>
      <w:lvlText w:val="（%1）"/>
      <w:lvlJc w:val="left"/>
      <w:rPr>
        <w:rFonts w:hint="eastAsia"/>
        <w:b/>
        <w:bCs/>
      </w:rPr>
    </w:lvl>
  </w:abstractNum>
  <w:abstractNum w:abstractNumId="10">
    <w:nsid w:val="648BDFA3"/>
    <w:multiLevelType w:val="singleLevel"/>
    <w:tmpl w:val="648BDFA3"/>
    <w:lvl w:ilvl="0" w:tentative="0">
      <w:start w:val="2"/>
      <w:numFmt w:val="chineseCounting"/>
      <w:suff w:val="nothing"/>
      <w:lvlText w:val="（%1）"/>
      <w:lvlJc w:val="left"/>
      <w:rPr>
        <w:rFonts w:hint="eastAsia"/>
      </w:rPr>
    </w:lvl>
  </w:abstractNum>
  <w:num w:numId="1">
    <w:abstractNumId w:val="8"/>
  </w:num>
  <w:num w:numId="2">
    <w:abstractNumId w:val="1"/>
  </w:num>
  <w:num w:numId="3">
    <w:abstractNumId w:val="3"/>
  </w:num>
  <w:num w:numId="4">
    <w:abstractNumId w:val="5"/>
  </w:num>
  <w:num w:numId="5">
    <w:abstractNumId w:val="2"/>
  </w:num>
  <w:num w:numId="6">
    <w:abstractNumId w:val="7"/>
  </w:num>
  <w:num w:numId="7">
    <w:abstractNumId w:val="4"/>
  </w:num>
  <w:num w:numId="8">
    <w:abstractNumId w:val="10"/>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Q0MjI1OGQ1OTZjMWM4ZDE0MDIzODk0Mzk3NmE5NmIifQ=="/>
  </w:docVars>
  <w:rsids>
    <w:rsidRoot w:val="00F1361C"/>
    <w:rsid w:val="00005402"/>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06F6"/>
    <w:rsid w:val="00101662"/>
    <w:rsid w:val="00114E9B"/>
    <w:rsid w:val="00142216"/>
    <w:rsid w:val="00144D6A"/>
    <w:rsid w:val="0014729F"/>
    <w:rsid w:val="00157BAB"/>
    <w:rsid w:val="001654D1"/>
    <w:rsid w:val="00174518"/>
    <w:rsid w:val="0018106D"/>
    <w:rsid w:val="001877A7"/>
    <w:rsid w:val="00191536"/>
    <w:rsid w:val="00196687"/>
    <w:rsid w:val="001C0962"/>
    <w:rsid w:val="001C12E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34AE"/>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078"/>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34C"/>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1067"/>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70F5"/>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DCC"/>
    <w:rsid w:val="00AD5620"/>
    <w:rsid w:val="00AD656B"/>
    <w:rsid w:val="00AD7C1B"/>
    <w:rsid w:val="00AE16BA"/>
    <w:rsid w:val="00AE1EBE"/>
    <w:rsid w:val="00B00BD6"/>
    <w:rsid w:val="00B03C9D"/>
    <w:rsid w:val="00B060AE"/>
    <w:rsid w:val="00B10517"/>
    <w:rsid w:val="00B14E76"/>
    <w:rsid w:val="00B161B8"/>
    <w:rsid w:val="00B2048C"/>
    <w:rsid w:val="00B310B9"/>
    <w:rsid w:val="00B35F3F"/>
    <w:rsid w:val="00B36CBB"/>
    <w:rsid w:val="00B415D5"/>
    <w:rsid w:val="00B425E0"/>
    <w:rsid w:val="00B440AA"/>
    <w:rsid w:val="00B44B70"/>
    <w:rsid w:val="00B53C56"/>
    <w:rsid w:val="00B57DAF"/>
    <w:rsid w:val="00B77EA6"/>
    <w:rsid w:val="00B81598"/>
    <w:rsid w:val="00B841F1"/>
    <w:rsid w:val="00B92B17"/>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0B3A"/>
    <w:rsid w:val="00C61BFC"/>
    <w:rsid w:val="00C62B85"/>
    <w:rsid w:val="00C65438"/>
    <w:rsid w:val="00C73FAC"/>
    <w:rsid w:val="00C87FD8"/>
    <w:rsid w:val="00C91381"/>
    <w:rsid w:val="00C91CBB"/>
    <w:rsid w:val="00CA12F5"/>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6A5"/>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603"/>
    <w:rsid w:val="00F32DF4"/>
    <w:rsid w:val="00F36D8F"/>
    <w:rsid w:val="00F417B1"/>
    <w:rsid w:val="00F45853"/>
    <w:rsid w:val="00F602DF"/>
    <w:rsid w:val="00F754A1"/>
    <w:rsid w:val="00F81FD9"/>
    <w:rsid w:val="00F841AA"/>
    <w:rsid w:val="00F84A94"/>
    <w:rsid w:val="00F87E96"/>
    <w:rsid w:val="00F94FE9"/>
    <w:rsid w:val="00FA23E8"/>
    <w:rsid w:val="00FD3CC1"/>
    <w:rsid w:val="00FF1E02"/>
    <w:rsid w:val="00FF30B4"/>
    <w:rsid w:val="01545A05"/>
    <w:rsid w:val="01556157"/>
    <w:rsid w:val="015975B8"/>
    <w:rsid w:val="01C25065"/>
    <w:rsid w:val="01E054EB"/>
    <w:rsid w:val="02021905"/>
    <w:rsid w:val="02143E91"/>
    <w:rsid w:val="0264611C"/>
    <w:rsid w:val="027F4D04"/>
    <w:rsid w:val="03AD768B"/>
    <w:rsid w:val="03C85160"/>
    <w:rsid w:val="03D42E2E"/>
    <w:rsid w:val="042F6322"/>
    <w:rsid w:val="043833BC"/>
    <w:rsid w:val="04553F6E"/>
    <w:rsid w:val="04C74740"/>
    <w:rsid w:val="04E754D3"/>
    <w:rsid w:val="0588507A"/>
    <w:rsid w:val="059444E0"/>
    <w:rsid w:val="05A01219"/>
    <w:rsid w:val="06063FFC"/>
    <w:rsid w:val="06262A04"/>
    <w:rsid w:val="064416AA"/>
    <w:rsid w:val="06691F53"/>
    <w:rsid w:val="066E0107"/>
    <w:rsid w:val="069917D6"/>
    <w:rsid w:val="06DA69AD"/>
    <w:rsid w:val="070C3133"/>
    <w:rsid w:val="072639A0"/>
    <w:rsid w:val="07320597"/>
    <w:rsid w:val="076369A2"/>
    <w:rsid w:val="07996F6E"/>
    <w:rsid w:val="07B471FE"/>
    <w:rsid w:val="07D765B9"/>
    <w:rsid w:val="08381BDD"/>
    <w:rsid w:val="086A0535"/>
    <w:rsid w:val="08762705"/>
    <w:rsid w:val="08874912"/>
    <w:rsid w:val="08915791"/>
    <w:rsid w:val="08966904"/>
    <w:rsid w:val="08C920E9"/>
    <w:rsid w:val="08CC0577"/>
    <w:rsid w:val="08E729B6"/>
    <w:rsid w:val="08FD4BD5"/>
    <w:rsid w:val="09381D91"/>
    <w:rsid w:val="095D667E"/>
    <w:rsid w:val="09D72144"/>
    <w:rsid w:val="09E665B5"/>
    <w:rsid w:val="09EB6C47"/>
    <w:rsid w:val="0A0106F5"/>
    <w:rsid w:val="0A2032A3"/>
    <w:rsid w:val="0A522CFE"/>
    <w:rsid w:val="0A6A2C79"/>
    <w:rsid w:val="0AAC240E"/>
    <w:rsid w:val="0AB85257"/>
    <w:rsid w:val="0B220922"/>
    <w:rsid w:val="0BD37A84"/>
    <w:rsid w:val="0C1069CD"/>
    <w:rsid w:val="0C41127C"/>
    <w:rsid w:val="0C477D78"/>
    <w:rsid w:val="0C871385"/>
    <w:rsid w:val="0C970F7A"/>
    <w:rsid w:val="0CE953C3"/>
    <w:rsid w:val="0D3112F1"/>
    <w:rsid w:val="0D4508F8"/>
    <w:rsid w:val="0D8803E4"/>
    <w:rsid w:val="0DBD4932"/>
    <w:rsid w:val="0DFA5B87"/>
    <w:rsid w:val="0DFE11D3"/>
    <w:rsid w:val="0E39220B"/>
    <w:rsid w:val="0E4017EB"/>
    <w:rsid w:val="0F0D514E"/>
    <w:rsid w:val="0F98263C"/>
    <w:rsid w:val="0F9F0794"/>
    <w:rsid w:val="101860EC"/>
    <w:rsid w:val="10C055FF"/>
    <w:rsid w:val="10D51453"/>
    <w:rsid w:val="111571A1"/>
    <w:rsid w:val="118107EC"/>
    <w:rsid w:val="11C91AF8"/>
    <w:rsid w:val="11EF6EEC"/>
    <w:rsid w:val="11F8740F"/>
    <w:rsid w:val="12921CE0"/>
    <w:rsid w:val="137275F4"/>
    <w:rsid w:val="13A47C84"/>
    <w:rsid w:val="13C62793"/>
    <w:rsid w:val="13D50BC4"/>
    <w:rsid w:val="13E13E96"/>
    <w:rsid w:val="13F015BE"/>
    <w:rsid w:val="13FC61B5"/>
    <w:rsid w:val="141B23B3"/>
    <w:rsid w:val="14454CC7"/>
    <w:rsid w:val="146124BC"/>
    <w:rsid w:val="14DE55CB"/>
    <w:rsid w:val="14F21049"/>
    <w:rsid w:val="15170DCC"/>
    <w:rsid w:val="151B4D60"/>
    <w:rsid w:val="151D5E70"/>
    <w:rsid w:val="155B33AF"/>
    <w:rsid w:val="15C40F54"/>
    <w:rsid w:val="15DB629E"/>
    <w:rsid w:val="160C28FB"/>
    <w:rsid w:val="162347B7"/>
    <w:rsid w:val="163559AE"/>
    <w:rsid w:val="163F12A7"/>
    <w:rsid w:val="166E2C6E"/>
    <w:rsid w:val="16B25250"/>
    <w:rsid w:val="16BB723D"/>
    <w:rsid w:val="16C55D34"/>
    <w:rsid w:val="16C76A17"/>
    <w:rsid w:val="16F2389F"/>
    <w:rsid w:val="1740460A"/>
    <w:rsid w:val="17502295"/>
    <w:rsid w:val="17795D6E"/>
    <w:rsid w:val="177C4A0A"/>
    <w:rsid w:val="17BD1403"/>
    <w:rsid w:val="17DE3995"/>
    <w:rsid w:val="181D494B"/>
    <w:rsid w:val="18480F23"/>
    <w:rsid w:val="18716A45"/>
    <w:rsid w:val="189C5F59"/>
    <w:rsid w:val="18C25A48"/>
    <w:rsid w:val="18C32F80"/>
    <w:rsid w:val="18CB6D7D"/>
    <w:rsid w:val="18F002B2"/>
    <w:rsid w:val="190A4CCB"/>
    <w:rsid w:val="194078FF"/>
    <w:rsid w:val="1A2A15A2"/>
    <w:rsid w:val="1ADC0AEE"/>
    <w:rsid w:val="1AF170D8"/>
    <w:rsid w:val="1B4B01DE"/>
    <w:rsid w:val="1BA63191"/>
    <w:rsid w:val="1BE8440E"/>
    <w:rsid w:val="1BE87334"/>
    <w:rsid w:val="1C3E1334"/>
    <w:rsid w:val="1C856F63"/>
    <w:rsid w:val="1D155CEE"/>
    <w:rsid w:val="1D1F1166"/>
    <w:rsid w:val="1D315235"/>
    <w:rsid w:val="1D81772B"/>
    <w:rsid w:val="1DE33F41"/>
    <w:rsid w:val="1E2D5D45"/>
    <w:rsid w:val="1E77796A"/>
    <w:rsid w:val="1E8F12B4"/>
    <w:rsid w:val="1EBA1146"/>
    <w:rsid w:val="1EE86BE2"/>
    <w:rsid w:val="1F3F789D"/>
    <w:rsid w:val="1F95570F"/>
    <w:rsid w:val="1FF35744"/>
    <w:rsid w:val="200F7270"/>
    <w:rsid w:val="20383A8B"/>
    <w:rsid w:val="205630F0"/>
    <w:rsid w:val="20E00C0C"/>
    <w:rsid w:val="211D59BC"/>
    <w:rsid w:val="216830DB"/>
    <w:rsid w:val="217A5EB1"/>
    <w:rsid w:val="2192417C"/>
    <w:rsid w:val="21F04E7F"/>
    <w:rsid w:val="220F3A10"/>
    <w:rsid w:val="224D1A5F"/>
    <w:rsid w:val="22B97967"/>
    <w:rsid w:val="22C75BE0"/>
    <w:rsid w:val="23860B96"/>
    <w:rsid w:val="23BA34FF"/>
    <w:rsid w:val="240371BF"/>
    <w:rsid w:val="241A2687"/>
    <w:rsid w:val="245E2574"/>
    <w:rsid w:val="24DB1C0B"/>
    <w:rsid w:val="253437C1"/>
    <w:rsid w:val="25B06DFF"/>
    <w:rsid w:val="25F50662"/>
    <w:rsid w:val="26064C71"/>
    <w:rsid w:val="261F3F85"/>
    <w:rsid w:val="265F25D3"/>
    <w:rsid w:val="268E64A0"/>
    <w:rsid w:val="26955FF5"/>
    <w:rsid w:val="26993216"/>
    <w:rsid w:val="26B50445"/>
    <w:rsid w:val="26BB1EFF"/>
    <w:rsid w:val="26D1527F"/>
    <w:rsid w:val="26E0202C"/>
    <w:rsid w:val="27427F2B"/>
    <w:rsid w:val="27AA73ED"/>
    <w:rsid w:val="27CD163D"/>
    <w:rsid w:val="27EF6D82"/>
    <w:rsid w:val="27F84A8D"/>
    <w:rsid w:val="28090BE4"/>
    <w:rsid w:val="285F4B0C"/>
    <w:rsid w:val="2895052E"/>
    <w:rsid w:val="28AB1AFF"/>
    <w:rsid w:val="28B766F6"/>
    <w:rsid w:val="29454D2A"/>
    <w:rsid w:val="297621E9"/>
    <w:rsid w:val="29883BEF"/>
    <w:rsid w:val="29FD04D3"/>
    <w:rsid w:val="2A3A7BF7"/>
    <w:rsid w:val="2AB475E4"/>
    <w:rsid w:val="2AE65071"/>
    <w:rsid w:val="2AF21C68"/>
    <w:rsid w:val="2AFC4894"/>
    <w:rsid w:val="2B204A27"/>
    <w:rsid w:val="2B870602"/>
    <w:rsid w:val="2BBB64FD"/>
    <w:rsid w:val="2BD17ACF"/>
    <w:rsid w:val="2BF11F1F"/>
    <w:rsid w:val="2BFA3F75"/>
    <w:rsid w:val="2C1A3224"/>
    <w:rsid w:val="2C212804"/>
    <w:rsid w:val="2C2873BA"/>
    <w:rsid w:val="2C2C11A9"/>
    <w:rsid w:val="2C8A61B5"/>
    <w:rsid w:val="2CAB6572"/>
    <w:rsid w:val="2D4367AA"/>
    <w:rsid w:val="2D76092E"/>
    <w:rsid w:val="2D996E86"/>
    <w:rsid w:val="2DC7118A"/>
    <w:rsid w:val="2DE735DA"/>
    <w:rsid w:val="2DF04E50"/>
    <w:rsid w:val="2E2F66A3"/>
    <w:rsid w:val="2E6B5FB9"/>
    <w:rsid w:val="2EA40E64"/>
    <w:rsid w:val="2EFA733D"/>
    <w:rsid w:val="2EFC1307"/>
    <w:rsid w:val="2F040D46"/>
    <w:rsid w:val="2F2D7712"/>
    <w:rsid w:val="2F3E547B"/>
    <w:rsid w:val="2F710722"/>
    <w:rsid w:val="2F833D20"/>
    <w:rsid w:val="2F8A06C1"/>
    <w:rsid w:val="2FAF6379"/>
    <w:rsid w:val="2FFF0860"/>
    <w:rsid w:val="301D7737"/>
    <w:rsid w:val="303348B4"/>
    <w:rsid w:val="30446AC1"/>
    <w:rsid w:val="30804C77"/>
    <w:rsid w:val="30BD4AC6"/>
    <w:rsid w:val="30CB2598"/>
    <w:rsid w:val="31067F7D"/>
    <w:rsid w:val="312B7C81"/>
    <w:rsid w:val="31326EF2"/>
    <w:rsid w:val="317258B0"/>
    <w:rsid w:val="319F7F4E"/>
    <w:rsid w:val="31C3610C"/>
    <w:rsid w:val="31DB4D54"/>
    <w:rsid w:val="3232504A"/>
    <w:rsid w:val="32444689"/>
    <w:rsid w:val="32654DA3"/>
    <w:rsid w:val="32655415"/>
    <w:rsid w:val="32C91500"/>
    <w:rsid w:val="32EC3440"/>
    <w:rsid w:val="3304709D"/>
    <w:rsid w:val="331D3DFA"/>
    <w:rsid w:val="333E0EF8"/>
    <w:rsid w:val="339B5ACE"/>
    <w:rsid w:val="33BD57CA"/>
    <w:rsid w:val="33E54DEE"/>
    <w:rsid w:val="342F1837"/>
    <w:rsid w:val="34907712"/>
    <w:rsid w:val="34EB60E9"/>
    <w:rsid w:val="354D466A"/>
    <w:rsid w:val="354E17FA"/>
    <w:rsid w:val="35C9437E"/>
    <w:rsid w:val="35DF76EE"/>
    <w:rsid w:val="36343134"/>
    <w:rsid w:val="364610BA"/>
    <w:rsid w:val="36A55DE0"/>
    <w:rsid w:val="36AA5135"/>
    <w:rsid w:val="36B81FB7"/>
    <w:rsid w:val="376B702A"/>
    <w:rsid w:val="376D39B2"/>
    <w:rsid w:val="37734130"/>
    <w:rsid w:val="37D526F5"/>
    <w:rsid w:val="37E16F03"/>
    <w:rsid w:val="37E904C6"/>
    <w:rsid w:val="38403071"/>
    <w:rsid w:val="38D469F0"/>
    <w:rsid w:val="38D8249D"/>
    <w:rsid w:val="3A316C8A"/>
    <w:rsid w:val="3A347BA7"/>
    <w:rsid w:val="3A7C32FC"/>
    <w:rsid w:val="3A995C5C"/>
    <w:rsid w:val="3B691AD2"/>
    <w:rsid w:val="3BBC42F8"/>
    <w:rsid w:val="3BCB453B"/>
    <w:rsid w:val="3BEA6195"/>
    <w:rsid w:val="3C08753D"/>
    <w:rsid w:val="3C371BD0"/>
    <w:rsid w:val="3C37572C"/>
    <w:rsid w:val="3C424796"/>
    <w:rsid w:val="3C5D3383"/>
    <w:rsid w:val="3CAF79B9"/>
    <w:rsid w:val="3CF47AC1"/>
    <w:rsid w:val="3CF7310E"/>
    <w:rsid w:val="3D261EE1"/>
    <w:rsid w:val="3D3C0A02"/>
    <w:rsid w:val="3D5347E8"/>
    <w:rsid w:val="3D98207C"/>
    <w:rsid w:val="3E4E4FAF"/>
    <w:rsid w:val="3E693097"/>
    <w:rsid w:val="3E78745D"/>
    <w:rsid w:val="3E8D3D29"/>
    <w:rsid w:val="3E8F1850"/>
    <w:rsid w:val="3E9230EE"/>
    <w:rsid w:val="3EB27505"/>
    <w:rsid w:val="3EFD2755"/>
    <w:rsid w:val="3EFE0783"/>
    <w:rsid w:val="3F762447"/>
    <w:rsid w:val="3F7E0284"/>
    <w:rsid w:val="3F93536F"/>
    <w:rsid w:val="3F9B4224"/>
    <w:rsid w:val="3FA330D9"/>
    <w:rsid w:val="3FB11C9A"/>
    <w:rsid w:val="3FCA68B7"/>
    <w:rsid w:val="3FD17C46"/>
    <w:rsid w:val="3FDE6DAE"/>
    <w:rsid w:val="3FF158EF"/>
    <w:rsid w:val="3FFB0FB2"/>
    <w:rsid w:val="3FFF71F2"/>
    <w:rsid w:val="410D73A4"/>
    <w:rsid w:val="4168282C"/>
    <w:rsid w:val="417E3DFD"/>
    <w:rsid w:val="41DB4DAC"/>
    <w:rsid w:val="423E2D77"/>
    <w:rsid w:val="426923B8"/>
    <w:rsid w:val="427F7EE6"/>
    <w:rsid w:val="432A5FEB"/>
    <w:rsid w:val="434626F9"/>
    <w:rsid w:val="43543068"/>
    <w:rsid w:val="44316F05"/>
    <w:rsid w:val="4496596D"/>
    <w:rsid w:val="44B41810"/>
    <w:rsid w:val="44E268DA"/>
    <w:rsid w:val="45101210"/>
    <w:rsid w:val="451231DA"/>
    <w:rsid w:val="452E4F9A"/>
    <w:rsid w:val="455A248C"/>
    <w:rsid w:val="4577128F"/>
    <w:rsid w:val="45A007E6"/>
    <w:rsid w:val="45E00BE3"/>
    <w:rsid w:val="45EE77A4"/>
    <w:rsid w:val="46026F63"/>
    <w:rsid w:val="464C207C"/>
    <w:rsid w:val="465B470D"/>
    <w:rsid w:val="46625A9C"/>
    <w:rsid w:val="466D7EB4"/>
    <w:rsid w:val="468E5B8C"/>
    <w:rsid w:val="46AF05B5"/>
    <w:rsid w:val="46C95B1B"/>
    <w:rsid w:val="471A0124"/>
    <w:rsid w:val="47372A84"/>
    <w:rsid w:val="475332F2"/>
    <w:rsid w:val="477F442B"/>
    <w:rsid w:val="478B23DE"/>
    <w:rsid w:val="47971775"/>
    <w:rsid w:val="47A06369"/>
    <w:rsid w:val="4800731A"/>
    <w:rsid w:val="485B09F4"/>
    <w:rsid w:val="48C04CFB"/>
    <w:rsid w:val="48C52312"/>
    <w:rsid w:val="4933740E"/>
    <w:rsid w:val="49BF41D3"/>
    <w:rsid w:val="49C820BA"/>
    <w:rsid w:val="49D6242A"/>
    <w:rsid w:val="4A394D65"/>
    <w:rsid w:val="4A4D25BF"/>
    <w:rsid w:val="4A627F82"/>
    <w:rsid w:val="4A9106FD"/>
    <w:rsid w:val="4ADF0D4A"/>
    <w:rsid w:val="4AE03433"/>
    <w:rsid w:val="4AF07B1A"/>
    <w:rsid w:val="4B0E749A"/>
    <w:rsid w:val="4B4734B2"/>
    <w:rsid w:val="4B4F25DA"/>
    <w:rsid w:val="4B6A3DF6"/>
    <w:rsid w:val="4B8C075D"/>
    <w:rsid w:val="4BB5041C"/>
    <w:rsid w:val="4BBA6D06"/>
    <w:rsid w:val="4BE068DB"/>
    <w:rsid w:val="4C1E06B7"/>
    <w:rsid w:val="4C650465"/>
    <w:rsid w:val="4CA72A99"/>
    <w:rsid w:val="4CC90BC0"/>
    <w:rsid w:val="4D330570"/>
    <w:rsid w:val="4D3D2DBF"/>
    <w:rsid w:val="4D577224"/>
    <w:rsid w:val="4DBE3EFF"/>
    <w:rsid w:val="4DC1579E"/>
    <w:rsid w:val="4DCF4F40"/>
    <w:rsid w:val="4E3715BC"/>
    <w:rsid w:val="4E5E2FEC"/>
    <w:rsid w:val="4E61488B"/>
    <w:rsid w:val="4E645AEF"/>
    <w:rsid w:val="4EAB630A"/>
    <w:rsid w:val="4ECE2238"/>
    <w:rsid w:val="4EE259CC"/>
    <w:rsid w:val="4F0E62E3"/>
    <w:rsid w:val="4F3119A6"/>
    <w:rsid w:val="4F545330"/>
    <w:rsid w:val="4F55619D"/>
    <w:rsid w:val="4FA233AD"/>
    <w:rsid w:val="4FCE0BB8"/>
    <w:rsid w:val="4FD01CC8"/>
    <w:rsid w:val="500969E0"/>
    <w:rsid w:val="502A3887"/>
    <w:rsid w:val="50414974"/>
    <w:rsid w:val="510627CE"/>
    <w:rsid w:val="510F1BFD"/>
    <w:rsid w:val="511F0698"/>
    <w:rsid w:val="5120164E"/>
    <w:rsid w:val="51383FC9"/>
    <w:rsid w:val="515C40EB"/>
    <w:rsid w:val="51754CD3"/>
    <w:rsid w:val="518965D2"/>
    <w:rsid w:val="51A927D1"/>
    <w:rsid w:val="52014D05"/>
    <w:rsid w:val="5285323E"/>
    <w:rsid w:val="5291677C"/>
    <w:rsid w:val="52B1678F"/>
    <w:rsid w:val="52DC0984"/>
    <w:rsid w:val="53107AD3"/>
    <w:rsid w:val="537E6D0A"/>
    <w:rsid w:val="53FD32A8"/>
    <w:rsid w:val="54D77C6F"/>
    <w:rsid w:val="54F63F7F"/>
    <w:rsid w:val="55114594"/>
    <w:rsid w:val="553A365E"/>
    <w:rsid w:val="55432F3C"/>
    <w:rsid w:val="555037BA"/>
    <w:rsid w:val="555667CB"/>
    <w:rsid w:val="556111C8"/>
    <w:rsid w:val="55A90FF1"/>
    <w:rsid w:val="55C71477"/>
    <w:rsid w:val="55EC65BF"/>
    <w:rsid w:val="563C1E65"/>
    <w:rsid w:val="56403CE2"/>
    <w:rsid w:val="56890E23"/>
    <w:rsid w:val="568D26C1"/>
    <w:rsid w:val="56B33514"/>
    <w:rsid w:val="56D74FCB"/>
    <w:rsid w:val="56ED13B1"/>
    <w:rsid w:val="574C432A"/>
    <w:rsid w:val="57833AC4"/>
    <w:rsid w:val="57882E88"/>
    <w:rsid w:val="579D2DD8"/>
    <w:rsid w:val="57D305A7"/>
    <w:rsid w:val="58061938"/>
    <w:rsid w:val="580E7831"/>
    <w:rsid w:val="585B059D"/>
    <w:rsid w:val="58615BB3"/>
    <w:rsid w:val="58B959EF"/>
    <w:rsid w:val="58BF645E"/>
    <w:rsid w:val="58E40592"/>
    <w:rsid w:val="596C2A61"/>
    <w:rsid w:val="596D3C04"/>
    <w:rsid w:val="599124C8"/>
    <w:rsid w:val="59C07F16"/>
    <w:rsid w:val="5A0C5B8A"/>
    <w:rsid w:val="5A625C12"/>
    <w:rsid w:val="5AF92295"/>
    <w:rsid w:val="5B8816A9"/>
    <w:rsid w:val="5C0A3B69"/>
    <w:rsid w:val="5C445842"/>
    <w:rsid w:val="5C5B6DBD"/>
    <w:rsid w:val="5C844566"/>
    <w:rsid w:val="5C8D7367"/>
    <w:rsid w:val="5CD71FC4"/>
    <w:rsid w:val="5D042FB1"/>
    <w:rsid w:val="5D746389"/>
    <w:rsid w:val="5E055A36"/>
    <w:rsid w:val="5E142A7A"/>
    <w:rsid w:val="5E42723B"/>
    <w:rsid w:val="5E7D1694"/>
    <w:rsid w:val="5E7E0913"/>
    <w:rsid w:val="5F015635"/>
    <w:rsid w:val="5F100B16"/>
    <w:rsid w:val="5F304531"/>
    <w:rsid w:val="5F530220"/>
    <w:rsid w:val="5FCE4357"/>
    <w:rsid w:val="5FCF5AF8"/>
    <w:rsid w:val="604378D5"/>
    <w:rsid w:val="60510572"/>
    <w:rsid w:val="60E76E71"/>
    <w:rsid w:val="60F35816"/>
    <w:rsid w:val="61774699"/>
    <w:rsid w:val="618100B8"/>
    <w:rsid w:val="621023F8"/>
    <w:rsid w:val="62293545"/>
    <w:rsid w:val="62606EDB"/>
    <w:rsid w:val="62C3746A"/>
    <w:rsid w:val="62E278F0"/>
    <w:rsid w:val="62E53885"/>
    <w:rsid w:val="63304B00"/>
    <w:rsid w:val="6384111C"/>
    <w:rsid w:val="63A177AC"/>
    <w:rsid w:val="63F7386F"/>
    <w:rsid w:val="647D0B6D"/>
    <w:rsid w:val="648F5856"/>
    <w:rsid w:val="656A746B"/>
    <w:rsid w:val="65857C87"/>
    <w:rsid w:val="66062DBE"/>
    <w:rsid w:val="66303069"/>
    <w:rsid w:val="66580AAE"/>
    <w:rsid w:val="66BE0674"/>
    <w:rsid w:val="67780823"/>
    <w:rsid w:val="678C552E"/>
    <w:rsid w:val="67941A60"/>
    <w:rsid w:val="67B56437"/>
    <w:rsid w:val="67ED1A09"/>
    <w:rsid w:val="68863414"/>
    <w:rsid w:val="68C857DA"/>
    <w:rsid w:val="68E819D9"/>
    <w:rsid w:val="69994C70"/>
    <w:rsid w:val="699E71D2"/>
    <w:rsid w:val="69A2602B"/>
    <w:rsid w:val="69D80355"/>
    <w:rsid w:val="69F63A40"/>
    <w:rsid w:val="6A2F0FCA"/>
    <w:rsid w:val="6AC344AB"/>
    <w:rsid w:val="6AD06BC8"/>
    <w:rsid w:val="6AD20B92"/>
    <w:rsid w:val="6AE54422"/>
    <w:rsid w:val="6AFE7291"/>
    <w:rsid w:val="6B855C05"/>
    <w:rsid w:val="6B923E7E"/>
    <w:rsid w:val="6B946502"/>
    <w:rsid w:val="6BDF3567"/>
    <w:rsid w:val="6C0857CC"/>
    <w:rsid w:val="6C2947E2"/>
    <w:rsid w:val="6C4A05C8"/>
    <w:rsid w:val="6C702411"/>
    <w:rsid w:val="6C837162"/>
    <w:rsid w:val="6CB06CB1"/>
    <w:rsid w:val="6D486EEA"/>
    <w:rsid w:val="6D875C64"/>
    <w:rsid w:val="6DAA3701"/>
    <w:rsid w:val="6DD32C57"/>
    <w:rsid w:val="6E6343C1"/>
    <w:rsid w:val="6E7E3605"/>
    <w:rsid w:val="6E8E702C"/>
    <w:rsid w:val="6EDC3D8E"/>
    <w:rsid w:val="6EEE0AC7"/>
    <w:rsid w:val="6F060E0B"/>
    <w:rsid w:val="6F1A6664"/>
    <w:rsid w:val="6F993A2D"/>
    <w:rsid w:val="6FF5CC65"/>
    <w:rsid w:val="701D465E"/>
    <w:rsid w:val="7048190F"/>
    <w:rsid w:val="709A7A5C"/>
    <w:rsid w:val="709F46DB"/>
    <w:rsid w:val="70FE623D"/>
    <w:rsid w:val="715C0E4B"/>
    <w:rsid w:val="723143F0"/>
    <w:rsid w:val="72734D90"/>
    <w:rsid w:val="730113CB"/>
    <w:rsid w:val="73267CCD"/>
    <w:rsid w:val="73275024"/>
    <w:rsid w:val="732775A1"/>
    <w:rsid w:val="73397A01"/>
    <w:rsid w:val="73AD73D5"/>
    <w:rsid w:val="73B6EB34"/>
    <w:rsid w:val="73EF4563"/>
    <w:rsid w:val="74085625"/>
    <w:rsid w:val="74324450"/>
    <w:rsid w:val="744731E5"/>
    <w:rsid w:val="744B5852"/>
    <w:rsid w:val="755F1275"/>
    <w:rsid w:val="75662603"/>
    <w:rsid w:val="765C57B4"/>
    <w:rsid w:val="766A6123"/>
    <w:rsid w:val="768A0573"/>
    <w:rsid w:val="769B2BE1"/>
    <w:rsid w:val="76AB41C9"/>
    <w:rsid w:val="76E3355F"/>
    <w:rsid w:val="77043280"/>
    <w:rsid w:val="77672662"/>
    <w:rsid w:val="778769C8"/>
    <w:rsid w:val="77D109D6"/>
    <w:rsid w:val="78AA6CAB"/>
    <w:rsid w:val="78B11DE7"/>
    <w:rsid w:val="78E421BD"/>
    <w:rsid w:val="7907499D"/>
    <w:rsid w:val="794B223C"/>
    <w:rsid w:val="795F1843"/>
    <w:rsid w:val="797C27AB"/>
    <w:rsid w:val="79A35740"/>
    <w:rsid w:val="79EE5BA4"/>
    <w:rsid w:val="7A0E5017"/>
    <w:rsid w:val="7A747570"/>
    <w:rsid w:val="7A831561"/>
    <w:rsid w:val="7A894339"/>
    <w:rsid w:val="7A8A31BC"/>
    <w:rsid w:val="7AAA4D40"/>
    <w:rsid w:val="7ACD0A2E"/>
    <w:rsid w:val="7ADD79A1"/>
    <w:rsid w:val="7AE53FCA"/>
    <w:rsid w:val="7B0326A2"/>
    <w:rsid w:val="7B881ADD"/>
    <w:rsid w:val="7B925456"/>
    <w:rsid w:val="7BA619AB"/>
    <w:rsid w:val="7BB06D9C"/>
    <w:rsid w:val="7BBA5457"/>
    <w:rsid w:val="7BDE5FB1"/>
    <w:rsid w:val="7C3745BD"/>
    <w:rsid w:val="7C39281F"/>
    <w:rsid w:val="7C4E2253"/>
    <w:rsid w:val="7C507B69"/>
    <w:rsid w:val="7C66738C"/>
    <w:rsid w:val="7C8247FC"/>
    <w:rsid w:val="7CE24C65"/>
    <w:rsid w:val="7D162B61"/>
    <w:rsid w:val="7DA41F1A"/>
    <w:rsid w:val="7DE762AB"/>
    <w:rsid w:val="7DFD5ACF"/>
    <w:rsid w:val="7E2748F9"/>
    <w:rsid w:val="7EEF11D3"/>
    <w:rsid w:val="7F127358"/>
    <w:rsid w:val="7F250E39"/>
    <w:rsid w:val="7F2805F8"/>
    <w:rsid w:val="7F473F79"/>
    <w:rsid w:val="7F533BF8"/>
    <w:rsid w:val="7F6E0A32"/>
    <w:rsid w:val="7F814A6A"/>
    <w:rsid w:val="7F89586C"/>
    <w:rsid w:val="7FA30C79"/>
    <w:rsid w:val="7FB7269E"/>
    <w:rsid w:val="7FC96657"/>
    <w:rsid w:val="7FCB5E84"/>
    <w:rsid w:val="7FF75629"/>
    <w:rsid w:val="7FFC0726"/>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680"/>
    </w:p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99"/>
    <w:rPr>
      <w:rFonts w:ascii="宋体" w:hAnsi="Courier New"/>
      <w:szCs w:val="21"/>
    </w:rPr>
  </w:style>
  <w:style w:type="paragraph" w:styleId="10">
    <w:name w:val="Balloon Text"/>
    <w:basedOn w:val="1"/>
    <w:link w:val="35"/>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7"/>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rPr>
  </w:style>
  <w:style w:type="paragraph" w:customStyle="1" w:styleId="22">
    <w:name w:val="正文2"/>
    <w:basedOn w:val="1"/>
    <w:next w:val="1"/>
    <w:qFormat/>
    <w:uiPriority w:val="0"/>
    <w:rPr>
      <w:rFonts w:ascii="仿宋_GB2312" w:eastAsia="仿宋_GB2312"/>
      <w:sz w:val="32"/>
      <w:szCs w:val="20"/>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9"/>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9"/>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9"/>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列出段落1"/>
    <w:basedOn w:val="1"/>
    <w:qFormat/>
    <w:uiPriority w:val="34"/>
    <w:pPr>
      <w:ind w:firstLine="420" w:firstLineChars="200"/>
    </w:pPr>
  </w:style>
  <w:style w:type="character" w:customStyle="1" w:styleId="32">
    <w:name w:val="标题 1 Char"/>
    <w:basedOn w:val="19"/>
    <w:link w:val="2"/>
    <w:qFormat/>
    <w:uiPriority w:val="9"/>
    <w:rPr>
      <w:rFonts w:ascii="Times New Roman" w:hAnsi="Times New Roman"/>
      <w:b/>
      <w:bCs/>
      <w:kern w:val="44"/>
      <w:sz w:val="44"/>
      <w:szCs w:val="44"/>
    </w:rPr>
  </w:style>
  <w:style w:type="character" w:customStyle="1" w:styleId="33">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3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19"/>
    <w:link w:val="10"/>
    <w:semiHidden/>
    <w:qFormat/>
    <w:uiPriority w:val="99"/>
    <w:rPr>
      <w:rFonts w:ascii="Times New Roman" w:hAnsi="Times New Roman"/>
      <w:kern w:val="2"/>
      <w:sz w:val="18"/>
      <w:szCs w:val="18"/>
    </w:rPr>
  </w:style>
  <w:style w:type="character" w:customStyle="1" w:styleId="36">
    <w:name w:val="标题 3 Char"/>
    <w:basedOn w:val="19"/>
    <w:link w:val="4"/>
    <w:qFormat/>
    <w:uiPriority w:val="9"/>
    <w:rPr>
      <w:rFonts w:ascii="Times New Roman" w:hAnsi="Times New Roman"/>
      <w:b/>
      <w:bCs/>
      <w:kern w:val="2"/>
      <w:sz w:val="32"/>
      <w:szCs w:val="32"/>
    </w:rPr>
  </w:style>
  <w:style w:type="paragraph" w:customStyle="1" w:styleId="37">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paragraph" w:customStyle="1" w:styleId="39">
    <w:name w:val="纯文本1"/>
    <w:basedOn w:val="1"/>
    <w:qFormat/>
    <w:uiPriority w:val="0"/>
    <w:rPr>
      <w:rFonts w:ascii="宋体" w:hAnsi="Courier New"/>
      <w:szCs w:val="21"/>
    </w:rPr>
  </w:style>
  <w:style w:type="character" w:customStyle="1" w:styleId="40">
    <w:name w:val="font21"/>
    <w:basedOn w:val="19"/>
    <w:qFormat/>
    <w:uiPriority w:val="0"/>
    <w:rPr>
      <w:rFonts w:ascii="宋体" w:hAnsi="宋体" w:eastAsia="宋体" w:cs="宋体"/>
      <w:color w:val="000000"/>
      <w:sz w:val="18"/>
      <w:szCs w:val="18"/>
      <w:u w:val="none"/>
    </w:rPr>
  </w:style>
  <w:style w:type="character" w:customStyle="1" w:styleId="41">
    <w:name w:val="font61"/>
    <w:basedOn w:val="19"/>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4.bin"/><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1046;&#20316;&#20915;&#31639;&#22270;%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1</a:t>
            </a:r>
            <a:r>
              <a:rPr altLang="en-US"/>
              <a:t>：</a:t>
            </a:r>
            <a:r>
              <a:t>收入支出总体情况变动图</a:t>
            </a:r>
            <a:endParaRPr lang="en-US" altLang="zh-CN"/>
          </a:p>
        </c:rich>
      </c:tx>
      <c:layout>
        <c:manualLayout>
          <c:xMode val="edge"/>
          <c:yMode val="edge"/>
          <c:x val="0.208779109422196"/>
          <c:y val="0.0582762873420314"/>
        </c:manualLayout>
      </c:layout>
      <c:overlay val="0"/>
      <c:spPr>
        <a:noFill/>
        <a:ln>
          <a:noFill/>
        </a:ln>
        <a:effectLst/>
      </c:spPr>
    </c:title>
    <c:autoTitleDeleted val="0"/>
    <c:plotArea>
      <c:layout>
        <c:manualLayout>
          <c:layoutTarget val="inner"/>
          <c:xMode val="edge"/>
          <c:yMode val="edge"/>
          <c:x val="0.079888921368021"/>
          <c:y val="0.225396825396825"/>
          <c:w val="0.889125986553639"/>
          <c:h val="0.639653679653681"/>
        </c:manualLayout>
      </c:layout>
      <c:barChart>
        <c:barDir val="col"/>
        <c:grouping val="clustered"/>
        <c:varyColors val="0"/>
        <c:ser>
          <c:idx val="0"/>
          <c:order val="0"/>
          <c:spPr>
            <a:solidFill>
              <a:srgbClr val="F7964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'[制作决算图 工作表.xlsx]Sheet1'!$A$1:$A$2</c:f>
              <c:strCache>
                <c:ptCount val="2"/>
                <c:pt idx="0">
                  <c:v>2021年</c:v>
                </c:pt>
                <c:pt idx="1">
                  <c:v>2022年</c:v>
                </c:pt>
              </c:strCache>
            </c:strRef>
          </c:cat>
          <c:val>
            <c:numRef>
              <c:f>'[制作决算图 工作表.xlsx]Sheet1'!$B$1:$B$2</c:f>
              <c:numCache>
                <c:formatCode>General</c:formatCode>
                <c:ptCount val="2"/>
                <c:pt idx="0">
                  <c:v>686.54</c:v>
                </c:pt>
                <c:pt idx="1">
                  <c:v>877.47</c:v>
                </c:pt>
              </c:numCache>
            </c:numRef>
          </c:val>
        </c:ser>
        <c:dLbls>
          <c:showLegendKey val="0"/>
          <c:showVal val="1"/>
          <c:showCatName val="0"/>
          <c:showSerName val="0"/>
          <c:showPercent val="0"/>
          <c:showBubbleSize val="0"/>
        </c:dLbls>
        <c:gapWidth val="219"/>
        <c:overlap val="-27"/>
        <c:axId val="170680704"/>
        <c:axId val="136692864"/>
      </c:barChart>
      <c:catAx>
        <c:axId val="17068070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6692864"/>
        <c:crosses val="autoZero"/>
        <c:auto val="1"/>
        <c:lblAlgn val="ctr"/>
        <c:lblOffset val="100"/>
        <c:noMultiLvlLbl val="0"/>
      </c:catAx>
      <c:valAx>
        <c:axId val="136692864"/>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068070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95</Pages>
  <Words>9385</Words>
  <Characters>53496</Characters>
  <Lines>445</Lines>
  <Paragraphs>125</Paragraphs>
  <TotalTime>1</TotalTime>
  <ScaleCrop>false</ScaleCrop>
  <LinksUpToDate>false</LinksUpToDate>
  <CharactersWithSpaces>62756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2023-09-25T07:52:14Z</cp:lastPrinted>
  <dcterms:modified xsi:type="dcterms:W3CDTF">2023-09-25T08:15:31Z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460C3972A3D641718DAE80BF262CCFF6_12</vt:lpwstr>
  </property>
</Properties>
</file>